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3BA7" w:rsidR="00FC1718" w:rsidP="00FC1718" w:rsidRDefault="00FC1718" w14:paraId="4E4BB5A1" w14:textId="5DB965B7">
      <w:pPr>
        <w:pStyle w:val="Heading1"/>
        <w:numPr>
          <w:ilvl w:val="0"/>
          <w:numId w:val="0"/>
        </w:numPr>
        <w:rPr>
          <w:rFonts w:asciiTheme="minorHAnsi" w:hAnsiTheme="minorHAnsi" w:cstheme="minorHAnsi"/>
        </w:rPr>
      </w:pPr>
      <w:r w:rsidRPr="00C63BA7">
        <w:rPr>
          <w:rFonts w:asciiTheme="minorHAnsi" w:hAnsiTheme="minorHAnsi" w:cstheme="minorHAnsi"/>
        </w:rPr>
        <w:t>SOC circular SOC2026-0</w:t>
      </w:r>
      <w:r w:rsidRPr="00C63BA7" w:rsidR="009927C8">
        <w:rPr>
          <w:rFonts w:asciiTheme="minorHAnsi" w:hAnsiTheme="minorHAnsi" w:cstheme="minorHAnsi"/>
        </w:rPr>
        <w:t>3</w:t>
      </w:r>
    </w:p>
    <w:p w:rsidRPr="002C46DB" w:rsidR="00FC1718" w:rsidP="00FC1718" w:rsidRDefault="000F2230" w14:paraId="4983BA5A" w14:textId="2989F180">
      <w:pPr>
        <w:pStyle w:val="Heading2"/>
        <w:rPr>
          <w:rFonts w:asciiTheme="minorHAnsi" w:hAnsiTheme="minorHAnsi" w:cstheme="minorHAnsi"/>
        </w:rPr>
      </w:pPr>
      <w:r w:rsidRPr="002C46DB">
        <w:rPr>
          <w:rFonts w:asciiTheme="minorHAnsi" w:hAnsiTheme="minorHAnsi" w:cstheme="minorHAnsi"/>
        </w:rPr>
        <w:t>Emergen</w:t>
      </w:r>
      <w:r w:rsidRPr="002C46DB" w:rsidR="002C46DB">
        <w:rPr>
          <w:rFonts w:asciiTheme="minorHAnsi" w:hAnsiTheme="minorHAnsi" w:cstheme="minorHAnsi"/>
        </w:rPr>
        <w:t>c</w:t>
      </w:r>
      <w:r w:rsidRPr="002C46DB">
        <w:rPr>
          <w:rFonts w:asciiTheme="minorHAnsi" w:hAnsiTheme="minorHAnsi" w:cstheme="minorHAnsi"/>
        </w:rPr>
        <w:t>y Motions</w:t>
      </w:r>
      <w:r w:rsidR="008A417C">
        <w:rPr>
          <w:rFonts w:asciiTheme="minorHAnsi" w:hAnsiTheme="minorHAnsi" w:cstheme="minorHAnsi"/>
        </w:rPr>
        <w:t xml:space="preserve"> submitted to 2026 Prospect Conference</w:t>
      </w:r>
    </w:p>
    <w:p w:rsidRPr="002C46DB" w:rsidR="00FC1718" w:rsidP="00FC1718" w:rsidRDefault="00FC1718" w14:paraId="292A13F0" w14:textId="77777777">
      <w:pPr>
        <w:rPr>
          <w:rFonts w:asciiTheme="minorHAnsi" w:hAnsiTheme="minorHAnsi" w:cstheme="minorHAnsi"/>
          <w:b/>
          <w:bCs/>
        </w:rPr>
      </w:pPr>
    </w:p>
    <w:p w:rsidR="002D193A" w:rsidP="00E81BD4" w:rsidRDefault="00FC1718" w14:paraId="500EA9E4" w14:textId="4DF2D1B0">
      <w:pPr>
        <w:pStyle w:val="Heading2"/>
      </w:pPr>
      <w:r w:rsidRPr="002C46DB">
        <w:t xml:space="preserve">Emergency Motions </w:t>
      </w:r>
      <w:r w:rsidR="00661A54">
        <w:t>recommended by the SOC for admittance to the Agenda</w:t>
      </w:r>
    </w:p>
    <w:p w:rsidRPr="002C46DB" w:rsidR="00FC1718" w:rsidP="00E81BD4" w:rsidRDefault="00FC1718" w14:paraId="4EDFACCF" w14:textId="29642790">
      <w:pPr>
        <w:pStyle w:val="Referencebackheading"/>
      </w:pPr>
      <w:r w:rsidRPr="00C63BA7">
        <w:t>EM1</w:t>
      </w:r>
      <w:r w:rsidRPr="002C46DB">
        <w:t xml:space="preserve"> </w:t>
      </w:r>
    </w:p>
    <w:p w:rsidRPr="002C46DB" w:rsidR="00FC1718" w:rsidP="00E81BD4" w:rsidRDefault="00FC1718" w14:paraId="75F55198" w14:textId="1A04501F">
      <w:pPr>
        <w:pStyle w:val="Heading3"/>
        <w:rPr>
          <w:noProof/>
        </w:rPr>
      </w:pPr>
      <w:r w:rsidRPr="002C46DB">
        <w:rPr>
          <w:noProof/>
        </w:rPr>
        <w:t>UK Digital Sovereignty</w:t>
      </w:r>
    </w:p>
    <w:p w:rsidRPr="002C46DB" w:rsidR="00FC1718" w:rsidP="00FC1718" w:rsidRDefault="00FC1718" w14:paraId="5F483099" w14:textId="77777777">
      <w:pPr>
        <w:rPr>
          <w:rFonts w:asciiTheme="minorHAnsi" w:hAnsiTheme="minorHAnsi" w:cstheme="minorHAnsi"/>
        </w:rPr>
      </w:pPr>
      <w:r w:rsidRPr="002C46DB">
        <w:rPr>
          <w:rFonts w:asciiTheme="minorHAnsi" w:hAnsiTheme="minorHAnsi" w:cstheme="minorHAnsi"/>
        </w:rPr>
        <w:t>Conference notes</w:t>
      </w:r>
    </w:p>
    <w:p w:rsidRPr="002C46DB" w:rsidR="00FC1718" w:rsidP="00FC1718" w:rsidRDefault="00FC1718" w14:paraId="6F7D4B80" w14:textId="77777777">
      <w:pPr>
        <w:rPr>
          <w:rFonts w:asciiTheme="minorHAnsi" w:hAnsiTheme="minorHAnsi" w:cstheme="minorHAnsi"/>
        </w:rPr>
      </w:pPr>
      <w:r w:rsidRPr="002C46DB">
        <w:rPr>
          <w:rFonts w:asciiTheme="minorHAnsi" w:hAnsiTheme="minorHAnsi" w:cstheme="minorHAnsi"/>
        </w:rPr>
        <w:t>Digital sovereignty is the ability of governments, organisations and individuals to control digital infrastructure, systems and data independently, without reliance on foreign corporations or external legal regimes.</w:t>
      </w:r>
    </w:p>
    <w:p w:rsidRPr="002C46DB" w:rsidR="00FC1718" w:rsidP="00FC1718" w:rsidRDefault="00FC1718" w14:paraId="34C6593F" w14:textId="77777777">
      <w:pPr>
        <w:rPr>
          <w:rFonts w:asciiTheme="minorHAnsi" w:hAnsiTheme="minorHAnsi" w:cstheme="minorHAnsi"/>
        </w:rPr>
      </w:pPr>
      <w:r w:rsidRPr="002C46DB">
        <w:rPr>
          <w:rFonts w:asciiTheme="minorHAnsi" w:hAnsiTheme="minorHAnsi" w:cstheme="minorHAnsi"/>
        </w:rPr>
        <w:t>In the UK, critical digital infrastructure is increasingly controlled by a small number of multinational companies, including Palantir, Microsoft and Amazon.</w:t>
      </w:r>
    </w:p>
    <w:p w:rsidRPr="002C46DB" w:rsidR="00FC1718" w:rsidP="00FC1718" w:rsidRDefault="00FC1718" w14:paraId="385AA785" w14:textId="0F254C2B">
      <w:pPr>
        <w:rPr>
          <w:rFonts w:asciiTheme="minorHAnsi" w:hAnsiTheme="minorHAnsi" w:cstheme="minorHAnsi"/>
        </w:rPr>
      </w:pPr>
      <w:r w:rsidRPr="002C46DB">
        <w:rPr>
          <w:rFonts w:asciiTheme="minorHAnsi" w:hAnsiTheme="minorHAnsi" w:cstheme="minorHAnsi"/>
        </w:rPr>
        <w:t>Key sectors such as telecoms are dominated by non</w:t>
      </w:r>
      <w:r w:rsidR="00181C9F">
        <w:rPr>
          <w:rFonts w:asciiTheme="minorHAnsi" w:hAnsiTheme="minorHAnsi" w:cstheme="minorHAnsi"/>
        </w:rPr>
        <w:t>-</w:t>
      </w:r>
      <w:r w:rsidRPr="002C46DB">
        <w:rPr>
          <w:rFonts w:asciiTheme="minorHAnsi" w:hAnsiTheme="minorHAnsi" w:cstheme="minorHAnsi"/>
        </w:rPr>
        <w:t>UK vendors, whilst public and private organisations are heavily dependent on foreign owned cloud, software and data platforms.</w:t>
      </w:r>
    </w:p>
    <w:p w:rsidRPr="002C46DB" w:rsidR="00FC1718" w:rsidP="00FC1718" w:rsidRDefault="00FC1718" w14:paraId="08D966CC" w14:textId="77777777">
      <w:pPr>
        <w:rPr>
          <w:rFonts w:asciiTheme="minorHAnsi" w:hAnsiTheme="minorHAnsi" w:cstheme="minorHAnsi"/>
        </w:rPr>
      </w:pPr>
      <w:r w:rsidRPr="002C46DB">
        <w:rPr>
          <w:rFonts w:asciiTheme="minorHAnsi" w:hAnsiTheme="minorHAnsi" w:cstheme="minorHAnsi"/>
        </w:rPr>
        <w:t>International instability and rising geopolitical tensions have exposed the risks of over reliance on externally controlled digital systems, with direct implications for jobs, data security and national resilience.</w:t>
      </w:r>
    </w:p>
    <w:p w:rsidRPr="002C46DB" w:rsidR="00FC1718" w:rsidP="00FC1718" w:rsidRDefault="00FC1718" w14:paraId="17494C8B" w14:textId="24DFAB16">
      <w:pPr>
        <w:rPr>
          <w:rFonts w:asciiTheme="minorHAnsi" w:hAnsiTheme="minorHAnsi" w:cstheme="minorHAnsi"/>
        </w:rPr>
      </w:pPr>
      <w:r w:rsidRPr="002C46DB">
        <w:rPr>
          <w:rFonts w:asciiTheme="minorHAnsi" w:hAnsiTheme="minorHAnsi" w:cstheme="minorHAnsi"/>
        </w:rPr>
        <w:t>Conference believes</w:t>
      </w:r>
      <w:r w:rsidR="001778F5">
        <w:rPr>
          <w:rFonts w:asciiTheme="minorHAnsi" w:hAnsiTheme="minorHAnsi" w:cstheme="minorHAnsi"/>
        </w:rPr>
        <w:t>:</w:t>
      </w:r>
    </w:p>
    <w:p w:rsidRPr="002C46DB" w:rsidR="00FC1718" w:rsidP="00F321B4" w:rsidRDefault="00FC1718" w14:paraId="720A3F51" w14:textId="77777777">
      <w:r w:rsidRPr="002C46DB">
        <w:t>Excessive dependence on a small number of global technology suppliers shifts power away from workers, unions and democratic institutions.</w:t>
      </w:r>
    </w:p>
    <w:p w:rsidRPr="002C46DB" w:rsidR="00FC1718" w:rsidP="00F321B4" w:rsidRDefault="00FC1718" w14:paraId="0E2C09EE" w14:textId="77777777">
      <w:r w:rsidRPr="002C46DB">
        <w:t>Strategic decisions affecting services and jobs are increasingly shaped by vendor commercial interests rather than public, workforce or operational need.</w:t>
      </w:r>
    </w:p>
    <w:p w:rsidRPr="002C46DB" w:rsidR="00FC1718" w:rsidP="00F321B4" w:rsidRDefault="00FC1718" w14:paraId="4A859A8B" w14:textId="77777777">
      <w:r w:rsidRPr="002C46DB">
        <w:t>Vendor lock in makes it difficult or impossible for organisations to change systems, even where outcomes are harmful to workers or services.</w:t>
      </w:r>
    </w:p>
    <w:p w:rsidRPr="002C46DB" w:rsidR="00FC1718" w:rsidP="00F321B4" w:rsidRDefault="00FC1718" w14:paraId="0286B159" w14:textId="77777777">
      <w:r w:rsidRPr="002C46DB">
        <w:t>Digital and algorithmic management systems are being introduced with limited transparency or consultation, including the use of opaque performance metrics and data driven decision making.</w:t>
      </w:r>
    </w:p>
    <w:p w:rsidRPr="002C46DB" w:rsidR="00FC1718" w:rsidP="00F321B4" w:rsidRDefault="00FC1718" w14:paraId="044E5790" w14:textId="77777777">
      <w:r w:rsidRPr="002C46DB">
        <w:t>Worker data generated in the workplace is increasingly repurposed to justify restructuring, intensification of work and job losses.</w:t>
      </w:r>
    </w:p>
    <w:p w:rsidRPr="002C46DB" w:rsidR="00FC1718" w:rsidP="00F321B4" w:rsidRDefault="00FC1718" w14:paraId="4C81D394" w14:textId="77777777">
      <w:r w:rsidRPr="002C46DB">
        <w:t>Leadership accountability is weakened when management decisions are presented as inevitable or attributed to “the system”.</w:t>
      </w:r>
    </w:p>
    <w:p w:rsidRPr="00F321B4" w:rsidR="00FC1718" w:rsidP="00F321B4" w:rsidRDefault="00FC1718" w14:paraId="2B9EC24E" w14:textId="41A8F334">
      <w:pPr>
        <w:rPr>
          <w:rFonts w:asciiTheme="minorHAnsi" w:hAnsiTheme="minorHAnsi" w:cstheme="minorHAnsi"/>
        </w:rPr>
      </w:pPr>
      <w:r w:rsidRPr="00F321B4">
        <w:rPr>
          <w:rFonts w:asciiTheme="minorHAnsi" w:hAnsiTheme="minorHAnsi" w:cstheme="minorHAnsi"/>
        </w:rPr>
        <w:t>Conference affirms</w:t>
      </w:r>
      <w:r w:rsidRPr="00F321B4" w:rsidR="001778F5">
        <w:rPr>
          <w:rFonts w:asciiTheme="minorHAnsi" w:hAnsiTheme="minorHAnsi" w:cstheme="minorHAnsi"/>
        </w:rPr>
        <w:t>:</w:t>
      </w:r>
    </w:p>
    <w:p w:rsidRPr="002C46DB" w:rsidR="00FC1718" w:rsidP="00F321B4" w:rsidRDefault="00FC1718" w14:paraId="0490E3F6" w14:textId="77777777">
      <w:r w:rsidRPr="002C46DB">
        <w:t>Digital sovereignty is not solely a technology issue; it is a power issue, a jobs issue and a trade union issue.</w:t>
      </w:r>
    </w:p>
    <w:p w:rsidRPr="002C46DB" w:rsidR="00FC1718" w:rsidP="00F321B4" w:rsidRDefault="00FC1718" w14:paraId="4585FBA1" w14:textId="77777777">
      <w:r w:rsidRPr="002C46DB">
        <w:t>Workers and their unions must have a central role in shaping the digital systems that govern work, skills and services.</w:t>
      </w:r>
    </w:p>
    <w:p w:rsidRPr="00F321B4" w:rsidR="00FC1718" w:rsidP="00F321B4" w:rsidRDefault="00FC1718" w14:paraId="40133039" w14:textId="7CBF748B">
      <w:pPr>
        <w:rPr>
          <w:rFonts w:asciiTheme="minorHAnsi" w:hAnsiTheme="minorHAnsi" w:cstheme="minorHAnsi"/>
        </w:rPr>
      </w:pPr>
      <w:r w:rsidRPr="00F321B4">
        <w:rPr>
          <w:rFonts w:asciiTheme="minorHAnsi" w:hAnsiTheme="minorHAnsi" w:cstheme="minorHAnsi"/>
        </w:rPr>
        <w:t>Conference instructs the NEC to</w:t>
      </w:r>
      <w:r w:rsidRPr="00F321B4" w:rsidR="001778F5">
        <w:rPr>
          <w:rFonts w:asciiTheme="minorHAnsi" w:hAnsiTheme="minorHAnsi" w:cstheme="minorHAnsi"/>
        </w:rPr>
        <w:t>:</w:t>
      </w:r>
    </w:p>
    <w:p w:rsidRPr="002C46DB" w:rsidR="00FC1718" w:rsidP="00F321B4" w:rsidRDefault="00FC1718" w14:paraId="3B2DC14A" w14:textId="77777777">
      <w:r w:rsidRPr="002C46DB">
        <w:t>Develop a clear and comprehensive Prospect policy on digital sovereignty within the next 12 months</w:t>
      </w:r>
    </w:p>
    <w:p w:rsidRPr="002C46DB" w:rsidR="00FC1718" w:rsidP="00F321B4" w:rsidRDefault="00FC1718" w14:paraId="655D11C4" w14:textId="1BDACB5E">
      <w:r w:rsidRPr="002C46DB">
        <w:t>Engage with the government of the day to press for diversification of suppliers, reduced reliance on single vendors, and increased use of open source solutions.</w:t>
      </w:r>
    </w:p>
    <w:p w:rsidRPr="002C46DB" w:rsidR="00FC1718" w:rsidP="00F321B4" w:rsidRDefault="00FC1718" w14:paraId="3E7F7CE5" w14:textId="77777777">
      <w:r w:rsidRPr="002C46DB">
        <w:t>Campaign for strong protections for worker data, ensuring it cannot be used as a tool against workers and is governed collectively with clear limits and safeguards.</w:t>
      </w:r>
    </w:p>
    <w:p w:rsidRPr="002C46DB" w:rsidR="00FC1718" w:rsidP="00F321B4" w:rsidRDefault="00FC1718" w14:paraId="3BE73E39" w14:textId="77777777">
      <w:r w:rsidRPr="002C46DB">
        <w:t>Raise digital sovereignty as a strategic issue in collective bargaining, public policy engagement and alliances with other unions.</w:t>
      </w:r>
    </w:p>
    <w:p w:rsidRPr="002C46DB" w:rsidR="00FC1718" w:rsidP="00F321B4" w:rsidRDefault="00FC1718" w14:paraId="314AF32A" w14:textId="77777777">
      <w:r w:rsidRPr="002C46DB">
        <w:t>Continue and strengthen lobbying for a coordinated, long term national skills strategy covering education, training, research and workforce development in this area.</w:t>
      </w:r>
    </w:p>
    <w:p w:rsidRPr="002C46DB" w:rsidR="00FC1718" w:rsidP="00F321B4" w:rsidRDefault="00FC1718" w14:paraId="235F5FA9" w14:textId="77777777">
      <w:r w:rsidRPr="002C46DB">
        <w:t>Press for policies that protect strategically important skills, reduce offshoring and brain drain, and support domestic capability and workforce planning.</w:t>
      </w:r>
    </w:p>
    <w:p w:rsidRPr="002C46DB" w:rsidR="00FC1718" w:rsidP="00F321B4" w:rsidRDefault="00FC1718" w14:paraId="1CE5A239" w14:textId="77777777">
      <w:r w:rsidRPr="002C46DB">
        <w:t>Increase support and training for representatives to challenge digital and AI driven management practices.</w:t>
      </w:r>
    </w:p>
    <w:p w:rsidRPr="002C46DB" w:rsidR="00FC1718" w:rsidP="00F321B4" w:rsidRDefault="00FC1718" w14:paraId="308D37A7" w14:textId="77777777">
      <w:r w:rsidRPr="002C46DB">
        <w:t>Demand leadership accountability so that decisions affecting workers are owned by leaders, not concealed behind automated systems.</w:t>
      </w:r>
    </w:p>
    <w:p w:rsidRPr="002C46DB" w:rsidR="00FC1718" w:rsidP="00F321B4" w:rsidRDefault="00FC1718" w14:paraId="349CDE6E" w14:textId="77777777">
      <w:r w:rsidRPr="002C46DB">
        <w:t>Europe’s tech sovereignty watch | Proton for Business</w:t>
      </w:r>
    </w:p>
    <w:p w:rsidRPr="002C46DB" w:rsidR="00FC1718" w:rsidP="00F321B4" w:rsidRDefault="00FC1718" w14:paraId="010DF6DC" w14:textId="77777777">
      <w:r w:rsidRPr="002C46DB">
        <w:t>Data centres at the intersection of sovereignty and innovation | macfarlanes</w:t>
      </w:r>
    </w:p>
    <w:p w:rsidRPr="002C46DB" w:rsidR="00FC1718" w:rsidP="00F321B4" w:rsidRDefault="00FC1718" w14:paraId="0FC401AF" w14:textId="77777777">
      <w:r w:rsidRPr="002C46DB">
        <w:t>The UK's International Technology Strategy - GOV.UK</w:t>
      </w:r>
    </w:p>
    <w:p w:rsidRPr="002C46DB" w:rsidR="00FC1718" w:rsidP="00F321B4" w:rsidRDefault="00FC1718" w14:paraId="6D814D0C" w14:textId="77777777">
      <w:r w:rsidRPr="002C46DB">
        <w:t>Breaking the stranglehold: Responses to data sovereignty risk | Computer Weekly</w:t>
      </w:r>
    </w:p>
    <w:p w:rsidR="00FC1718" w:rsidP="00FC1718" w:rsidRDefault="00FC1718" w14:paraId="1475ACBA" w14:textId="77777777">
      <w:pPr>
        <w:rPr>
          <w:rFonts w:asciiTheme="minorHAnsi" w:hAnsiTheme="minorHAnsi" w:cstheme="minorHAnsi"/>
          <w:i/>
          <w:iCs/>
        </w:rPr>
      </w:pPr>
      <w:r w:rsidRPr="002C46DB">
        <w:rPr>
          <w:rFonts w:asciiTheme="minorHAnsi" w:hAnsiTheme="minorHAnsi" w:cstheme="minorHAnsi"/>
          <w:i/>
          <w:iCs/>
        </w:rPr>
        <w:t>BT Business</w:t>
      </w:r>
    </w:p>
    <w:p w:rsidR="00E76041" w:rsidP="00FC1718" w:rsidRDefault="00953C3F" w14:paraId="1FFDCC28" w14:textId="0A48302A">
      <w:pPr>
        <w:rPr>
          <w:rFonts w:asciiTheme="minorHAnsi" w:hAnsiTheme="minorHAnsi" w:cstheme="minorHAnsi"/>
          <w:b/>
          <w:bCs/>
        </w:rPr>
      </w:pPr>
      <w:r>
        <w:rPr>
          <w:rFonts w:asciiTheme="minorHAnsi" w:hAnsiTheme="minorHAnsi" w:cstheme="minorHAnsi"/>
          <w:b/>
          <w:bCs/>
        </w:rPr>
        <w:t xml:space="preserve">SOC </w:t>
      </w:r>
      <w:r w:rsidR="003C3E63">
        <w:rPr>
          <w:rFonts w:asciiTheme="minorHAnsi" w:hAnsiTheme="minorHAnsi" w:cstheme="minorHAnsi"/>
          <w:b/>
          <w:bCs/>
        </w:rPr>
        <w:t>recommendation reason</w:t>
      </w:r>
    </w:p>
    <w:p w:rsidRPr="00762C1D" w:rsidR="006A75A0" w:rsidP="00FC1718" w:rsidRDefault="006A75A0" w14:paraId="3FEC0D60" w14:textId="67134E40">
      <w:pPr>
        <w:rPr>
          <w:rFonts w:asciiTheme="minorHAnsi" w:hAnsiTheme="minorHAnsi" w:cstheme="minorHAnsi"/>
        </w:rPr>
      </w:pPr>
      <w:r w:rsidRPr="00762C1D">
        <w:rPr>
          <w:rFonts w:asciiTheme="minorHAnsi" w:hAnsiTheme="minorHAnsi" w:cstheme="minorHAnsi"/>
        </w:rPr>
        <w:t>The SOC accepts this</w:t>
      </w:r>
      <w:r w:rsidRPr="00762C1D" w:rsidR="00FC7C4C">
        <w:rPr>
          <w:rFonts w:asciiTheme="minorHAnsi" w:hAnsiTheme="minorHAnsi" w:cstheme="minorHAnsi"/>
        </w:rPr>
        <w:t xml:space="preserve"> </w:t>
      </w:r>
      <w:r w:rsidRPr="00762C1D" w:rsidR="00EE59B3">
        <w:rPr>
          <w:rFonts w:asciiTheme="minorHAnsi" w:hAnsiTheme="minorHAnsi" w:cstheme="minorHAnsi"/>
        </w:rPr>
        <w:t>is a valid emergency motion because the escalating international tensions have significantly intensified chall</w:t>
      </w:r>
      <w:r w:rsidRPr="00762C1D" w:rsidR="00762C1D">
        <w:rPr>
          <w:rFonts w:asciiTheme="minorHAnsi" w:hAnsiTheme="minorHAnsi" w:cstheme="minorHAnsi"/>
        </w:rPr>
        <w:t>enges to global digital sovereignty.</w:t>
      </w:r>
    </w:p>
    <w:p w:rsidRPr="00953C3F" w:rsidR="003C3E63" w:rsidP="00FC1718" w:rsidRDefault="003C3E63" w14:paraId="22360A72" w14:textId="77777777">
      <w:pPr>
        <w:rPr>
          <w:rFonts w:asciiTheme="minorHAnsi" w:hAnsiTheme="minorHAnsi" w:cstheme="minorHAnsi"/>
          <w:b/>
          <w:bCs/>
        </w:rPr>
      </w:pPr>
    </w:p>
    <w:p w:rsidRPr="002C46DB" w:rsidR="00FC1718" w:rsidP="00F321B4" w:rsidRDefault="00FC1718" w14:paraId="017011E6" w14:textId="735545D0">
      <w:pPr>
        <w:pStyle w:val="Referencebackheading"/>
      </w:pPr>
      <w:r w:rsidRPr="002C46DB">
        <w:t>EM4</w:t>
      </w:r>
    </w:p>
    <w:p w:rsidRPr="002C46DB" w:rsidR="00FC1718" w:rsidP="006E4783" w:rsidRDefault="00FC1718" w14:paraId="436B4C1E" w14:textId="2D39BE56">
      <w:pPr>
        <w:pStyle w:val="Heading3"/>
      </w:pPr>
      <w:r w:rsidRPr="002C46DB">
        <w:t xml:space="preserve">Action </w:t>
      </w:r>
      <w:r w:rsidR="006E4783">
        <w:t>a</w:t>
      </w:r>
      <w:r w:rsidRPr="002C46DB">
        <w:t xml:space="preserve">nd </w:t>
      </w:r>
      <w:r w:rsidR="00FE75FD">
        <w:t>c</w:t>
      </w:r>
      <w:r w:rsidRPr="002C46DB">
        <w:t xml:space="preserve">ompensation </w:t>
      </w:r>
      <w:r w:rsidR="006E4783">
        <w:t>f</w:t>
      </w:r>
      <w:r w:rsidRPr="002C46DB">
        <w:t xml:space="preserve">or </w:t>
      </w:r>
      <w:r w:rsidR="00FE75FD">
        <w:t>m</w:t>
      </w:r>
      <w:r w:rsidRPr="002C46DB">
        <w:t xml:space="preserve">embers </w:t>
      </w:r>
      <w:r w:rsidR="00FE75FD">
        <w:t>a</w:t>
      </w:r>
      <w:r w:rsidRPr="002C46DB">
        <w:t xml:space="preserve">ffected </w:t>
      </w:r>
      <w:r w:rsidR="006E4783">
        <w:t>b</w:t>
      </w:r>
      <w:r w:rsidRPr="002C46DB">
        <w:t xml:space="preserve">y </w:t>
      </w:r>
      <w:r w:rsidR="00FE75FD">
        <w:t>f</w:t>
      </w:r>
      <w:r w:rsidRPr="002C46DB">
        <w:t>ailures</w:t>
      </w:r>
      <w:r w:rsidR="00C40D82">
        <w:t xml:space="preserve"> o</w:t>
      </w:r>
      <w:r w:rsidRPr="002C46DB">
        <w:t xml:space="preserve">f Capita </w:t>
      </w:r>
      <w:r w:rsidR="00C40D82">
        <w:t>t</w:t>
      </w:r>
      <w:r w:rsidRPr="002C46DB">
        <w:t>he CSPS Pension Administrator</w:t>
      </w:r>
    </w:p>
    <w:p w:rsidRPr="002C46DB" w:rsidR="00FC1718" w:rsidP="00FC1718" w:rsidRDefault="00FC1718" w14:paraId="5D56DA01" w14:textId="77777777">
      <w:pPr>
        <w:rPr>
          <w:rFonts w:asciiTheme="minorHAnsi" w:hAnsiTheme="minorHAnsi" w:cstheme="minorHAnsi"/>
        </w:rPr>
      </w:pPr>
      <w:r w:rsidRPr="002C46DB">
        <w:rPr>
          <w:rFonts w:asciiTheme="minorHAnsi" w:hAnsiTheme="minorHAnsi" w:cstheme="minorHAnsi"/>
        </w:rPr>
        <w:t>Capita took over administration of the Civil Service Pension Scheme on 1 December 2025. It had been agreed that they would only deliver a scaled-back service initially, because they were not ready to implement the full functionality they had promised.</w:t>
      </w:r>
    </w:p>
    <w:p w:rsidRPr="002C46DB" w:rsidR="00FC1718" w:rsidP="00FC1718" w:rsidRDefault="00FC1718" w14:paraId="67F62FBA" w14:textId="77777777">
      <w:pPr>
        <w:rPr>
          <w:rFonts w:asciiTheme="minorHAnsi" w:hAnsiTheme="minorHAnsi" w:cstheme="minorHAnsi"/>
        </w:rPr>
      </w:pPr>
      <w:r w:rsidRPr="002C46DB">
        <w:rPr>
          <w:rFonts w:asciiTheme="minorHAnsi" w:hAnsiTheme="minorHAnsi" w:cstheme="minorHAnsi"/>
        </w:rPr>
        <w:t>By 31 March, Capita was contractually required to have introduced a wide range of digital tools aimed at giving scheme members a better experience:</w:t>
      </w:r>
    </w:p>
    <w:p w:rsidRPr="00F321B4" w:rsidR="00FC1718" w:rsidP="00F321B4" w:rsidRDefault="00FC1718" w14:paraId="6A91EAD4" w14:textId="1A54FEF9">
      <w:pPr>
        <w:pStyle w:val="ListBullet"/>
      </w:pPr>
      <w:r w:rsidRPr="00F321B4">
        <w:t>A new Retire Online tool to help members manage their retirement efficiently.</w:t>
      </w:r>
    </w:p>
    <w:p w:rsidRPr="00F321B4" w:rsidR="00FC1718" w:rsidP="00F321B4" w:rsidRDefault="00FC1718" w14:paraId="7AEAB54F" w14:textId="2B668CA1">
      <w:pPr>
        <w:pStyle w:val="ListBullet"/>
      </w:pPr>
      <w:r w:rsidRPr="00F321B4">
        <w:t>A new Track My Case service to provide real-time visibility of progress on cases.</w:t>
      </w:r>
    </w:p>
    <w:p w:rsidRPr="00F321B4" w:rsidR="00FC1718" w:rsidP="00F321B4" w:rsidRDefault="00FC1718" w14:paraId="193A7FED" w14:textId="173D20F5">
      <w:pPr>
        <w:pStyle w:val="ListBullet"/>
      </w:pPr>
      <w:r w:rsidRPr="00F321B4">
        <w:t>An online pension modeller to help members plan for retirement.</w:t>
      </w:r>
    </w:p>
    <w:p w:rsidRPr="002C46DB" w:rsidR="00FC1718" w:rsidP="00FC1718" w:rsidRDefault="00FC1718" w14:paraId="744A740C" w14:textId="77777777">
      <w:pPr>
        <w:rPr>
          <w:rFonts w:asciiTheme="minorHAnsi" w:hAnsiTheme="minorHAnsi" w:cstheme="minorHAnsi"/>
        </w:rPr>
      </w:pPr>
      <w:r w:rsidRPr="002C46DB">
        <w:rPr>
          <w:rFonts w:asciiTheme="minorHAnsi" w:hAnsiTheme="minorHAnsi" w:cstheme="minorHAnsi"/>
        </w:rPr>
        <w:t>More basic services, like the ability to view members’ latest Annual Benefit Statement online were also meant to be operational by 31 March.</w:t>
      </w:r>
    </w:p>
    <w:p w:rsidRPr="002C46DB" w:rsidR="00FC1718" w:rsidP="00FC1718" w:rsidRDefault="00FC1718" w14:paraId="6752DF1A" w14:textId="77777777">
      <w:pPr>
        <w:rPr>
          <w:rFonts w:asciiTheme="minorHAnsi" w:hAnsiTheme="minorHAnsi" w:cstheme="minorHAnsi"/>
        </w:rPr>
      </w:pPr>
      <w:r w:rsidRPr="002C46DB">
        <w:rPr>
          <w:rFonts w:asciiTheme="minorHAnsi" w:hAnsiTheme="minorHAnsi" w:cstheme="minorHAnsi"/>
        </w:rPr>
        <w:t>Capita have completely failed to deliver the services they had promised to scheme members by 31 March. As a result:</w:t>
      </w:r>
    </w:p>
    <w:p w:rsidRPr="002C46DB" w:rsidR="00FC1718" w:rsidP="00F321B4" w:rsidRDefault="00FC1718" w14:paraId="7145D444" w14:textId="5E267302">
      <w:pPr>
        <w:pStyle w:val="ListBullet"/>
      </w:pPr>
      <w:r w:rsidRPr="002C46DB">
        <w:t>Thousands of members have retired without receiving a pension and were waiting months without any income.</w:t>
      </w:r>
    </w:p>
    <w:p w:rsidRPr="002C46DB" w:rsidR="00FC1718" w:rsidP="00F321B4" w:rsidRDefault="00FC1718" w14:paraId="1EED1D28" w14:textId="02C0B605">
      <w:pPr>
        <w:pStyle w:val="ListBullet"/>
      </w:pPr>
      <w:r w:rsidRPr="002C46DB">
        <w:t>Thousands of bereaved dependents have been waiting months after their partner died without any pension from the scheme.</w:t>
      </w:r>
    </w:p>
    <w:p w:rsidRPr="002C46DB" w:rsidR="00FC1718" w:rsidP="00F321B4" w:rsidRDefault="00FC1718" w14:paraId="0984431A" w14:textId="25D6D1A6">
      <w:pPr>
        <w:pStyle w:val="ListBullet"/>
      </w:pPr>
      <w:r w:rsidRPr="002C46DB">
        <w:t>Thousands of members have been waiting many months to receive a retirement quote to enable them to retire.</w:t>
      </w:r>
    </w:p>
    <w:p w:rsidRPr="002C46DB" w:rsidR="00FC1718" w:rsidP="00F321B4" w:rsidRDefault="00FC1718" w14:paraId="320EFF6F" w14:textId="4C40804C">
      <w:pPr>
        <w:pStyle w:val="ListBullet"/>
      </w:pPr>
      <w:r w:rsidRPr="002C46DB">
        <w:t>Thousands of other members have been delaying retirement because they did not have the necessary information or were concerned their pension would be delayed.</w:t>
      </w:r>
    </w:p>
    <w:p w:rsidRPr="002C46DB" w:rsidR="00FC1718" w:rsidP="00F321B4" w:rsidRDefault="00FC1718" w14:paraId="046A07A4" w14:textId="77777777">
      <w:pPr>
        <w:pStyle w:val="ListBullet"/>
      </w:pPr>
      <w:r w:rsidRPr="002C46DB">
        <w:t>Conference instructs the National Executive Committee, to:</w:t>
      </w:r>
    </w:p>
    <w:p w:rsidRPr="002C46DB" w:rsidR="00FC1718" w:rsidP="00F321B4" w:rsidRDefault="00FC1718" w14:paraId="72B3C889" w14:textId="098ED169">
      <w:pPr>
        <w:pStyle w:val="ListBullet"/>
      </w:pPr>
      <w:r w:rsidRPr="002C46DB">
        <w:t>Continue to lobby government and other stakeholders to recover this service by the earliest possible date.</w:t>
      </w:r>
    </w:p>
    <w:p w:rsidRPr="002C46DB" w:rsidR="00FC1718" w:rsidP="00F321B4" w:rsidRDefault="00FC1718" w14:paraId="7621252E" w14:textId="0C39FEC2">
      <w:pPr>
        <w:pStyle w:val="ListBullet"/>
      </w:pPr>
      <w:r w:rsidRPr="002C46DB">
        <w:t>Push for Capita to receive appropriate financial penalties for their total failure to deliver an acceptable service.</w:t>
      </w:r>
    </w:p>
    <w:p w:rsidRPr="002C46DB" w:rsidR="00FC1718" w:rsidP="00F321B4" w:rsidRDefault="00FC1718" w14:paraId="709C47D3" w14:textId="18F7FDD3">
      <w:pPr>
        <w:pStyle w:val="ListBullet"/>
      </w:pPr>
      <w:r w:rsidRPr="002C46DB">
        <w:t>Publish evidence about whether outsourcing public service pension scheme administration has delivered better services and / or lower costs as intended.</w:t>
      </w:r>
    </w:p>
    <w:p w:rsidRPr="002C46DB" w:rsidR="00FC1718" w:rsidP="00F321B4" w:rsidRDefault="00FC1718" w14:paraId="367C5C12" w14:textId="02578CD8">
      <w:pPr>
        <w:pStyle w:val="ListBullet"/>
      </w:pPr>
      <w:r w:rsidRPr="002C46DB">
        <w:t>Argue for appropriate levels of compensation for scheme members affected by these problems.</w:t>
      </w:r>
    </w:p>
    <w:p w:rsidRPr="002C46DB" w:rsidR="00FC1718" w:rsidP="00F321B4" w:rsidRDefault="00FC1718" w14:paraId="5BE4E01A" w14:textId="1915243F">
      <w:pPr>
        <w:pStyle w:val="ListBullet"/>
      </w:pPr>
      <w:r w:rsidRPr="002C46DB">
        <w:t>Provide guidance for members to claim compensation through the scheme’s Internal Dispute Resolution (IDR) procedure and potentially the Pensions Ombudsman.</w:t>
      </w:r>
    </w:p>
    <w:p w:rsidR="00FC1718" w:rsidP="00FC1718" w:rsidRDefault="00FC1718" w14:paraId="76761CCF" w14:textId="77777777">
      <w:pPr>
        <w:rPr>
          <w:rFonts w:asciiTheme="minorHAnsi" w:hAnsiTheme="minorHAnsi" w:cstheme="minorHAnsi"/>
          <w:i/>
          <w:iCs/>
        </w:rPr>
      </w:pPr>
      <w:r w:rsidRPr="002C46DB">
        <w:rPr>
          <w:rFonts w:asciiTheme="minorHAnsi" w:hAnsiTheme="minorHAnsi" w:cstheme="minorHAnsi"/>
          <w:i/>
          <w:iCs/>
        </w:rPr>
        <w:t xml:space="preserve">Defence Equipment and Support </w:t>
      </w:r>
    </w:p>
    <w:p w:rsidR="0007575A" w:rsidP="00CE6FD2" w:rsidRDefault="0007575A" w14:paraId="76034154" w14:textId="2DE83B07">
      <w:pPr>
        <w:pStyle w:val="letter-subject-line"/>
      </w:pPr>
      <w:r>
        <w:t>SOC recommendation reason</w:t>
      </w:r>
      <w:r w:rsidR="00CE6FD2">
        <w:t>:</w:t>
      </w:r>
    </w:p>
    <w:p w:rsidRPr="0007575A" w:rsidR="0007575A" w:rsidP="00FC1718" w:rsidRDefault="00BF4B3A" w14:paraId="4E930D1B" w14:textId="764BF2D9">
      <w:pPr>
        <w:rPr>
          <w:rFonts w:asciiTheme="minorHAnsi" w:hAnsiTheme="minorHAnsi" w:cstheme="minorHAnsi"/>
        </w:rPr>
      </w:pPr>
      <w:r>
        <w:rPr>
          <w:rFonts w:asciiTheme="minorHAnsi" w:hAnsiTheme="minorHAnsi" w:cstheme="minorHAnsi"/>
        </w:rPr>
        <w:t>Contractual failures by Capita from 31 March</w:t>
      </w:r>
      <w:r w:rsidR="008C0F63">
        <w:rPr>
          <w:rFonts w:asciiTheme="minorHAnsi" w:hAnsiTheme="minorHAnsi" w:cstheme="minorHAnsi"/>
        </w:rPr>
        <w:t xml:space="preserve"> onwards.</w:t>
      </w:r>
    </w:p>
    <w:p w:rsidRPr="002C46DB" w:rsidR="00FC1718" w:rsidP="00CE6FD2" w:rsidRDefault="00FC1718" w14:paraId="2C3C2976" w14:textId="10BE65D5">
      <w:pPr>
        <w:pStyle w:val="Referencebackheading"/>
      </w:pPr>
      <w:r w:rsidRPr="002C46DB">
        <w:t xml:space="preserve">EM5 </w:t>
      </w:r>
    </w:p>
    <w:p w:rsidRPr="00CE6FD2" w:rsidR="00FC1718" w:rsidP="006E4783" w:rsidRDefault="00FC1718" w14:paraId="37446935" w14:textId="12546165">
      <w:pPr>
        <w:pStyle w:val="Heading3"/>
        <w:rPr>
          <w:noProof/>
        </w:rPr>
      </w:pPr>
      <w:r w:rsidRPr="002C46DB">
        <w:rPr>
          <w:noProof/>
        </w:rPr>
        <w:t xml:space="preserve">Defence Emergency </w:t>
      </w:r>
    </w:p>
    <w:p w:rsidRPr="002C46DB" w:rsidR="00FC1718" w:rsidP="00FC1718" w:rsidRDefault="00FC1718" w14:paraId="5684DF02" w14:textId="77777777">
      <w:pPr>
        <w:rPr>
          <w:rFonts w:asciiTheme="minorHAnsi" w:hAnsiTheme="minorHAnsi" w:cstheme="minorHAnsi"/>
          <w:noProof/>
        </w:rPr>
      </w:pPr>
      <w:r w:rsidRPr="002C46DB">
        <w:rPr>
          <w:rFonts w:asciiTheme="minorHAnsi" w:hAnsiTheme="minorHAnsi" w:cstheme="minorHAnsi"/>
          <w:noProof/>
        </w:rPr>
        <w:t>Conference notes that the unexpected confirmation of the decommissioning of the Type 23 frigate HMS Iron Duke on 6 May 2026 has reduced the number of operational frigates available for Royal Navy operations to five, and the total number of destroyers and frigates to 11.</w:t>
      </w:r>
    </w:p>
    <w:p w:rsidRPr="002C46DB" w:rsidR="00FC1718" w:rsidP="00FC1718" w:rsidRDefault="00FC1718" w14:paraId="426C37E1" w14:textId="77777777">
      <w:pPr>
        <w:rPr>
          <w:rFonts w:asciiTheme="minorHAnsi" w:hAnsiTheme="minorHAnsi" w:cstheme="minorHAnsi"/>
          <w:noProof/>
        </w:rPr>
      </w:pPr>
      <w:r w:rsidRPr="002C46DB">
        <w:rPr>
          <w:rFonts w:asciiTheme="minorHAnsi" w:hAnsiTheme="minorHAnsi" w:cstheme="minorHAnsi"/>
          <w:noProof/>
        </w:rPr>
        <w:t>This comes in the broader international context of conflict, uncertainty and unprecedented disruption to international trade. Recent events therefore mean the UK’s defence readiness is woefully below what has been required for the security and economic wellbeing of the UK and its citizens during previous periods of global instability.</w:t>
      </w:r>
    </w:p>
    <w:p w:rsidRPr="002C46DB" w:rsidR="00FC1718" w:rsidP="00FC1718" w:rsidRDefault="00FC1718" w14:paraId="4CA878A5" w14:textId="77777777">
      <w:pPr>
        <w:rPr>
          <w:rFonts w:asciiTheme="minorHAnsi" w:hAnsiTheme="minorHAnsi" w:cstheme="minorHAnsi"/>
          <w:noProof/>
        </w:rPr>
      </w:pPr>
      <w:r w:rsidRPr="002C46DB">
        <w:rPr>
          <w:rFonts w:asciiTheme="minorHAnsi" w:hAnsiTheme="minorHAnsi" w:cstheme="minorHAnsi"/>
          <w:noProof/>
        </w:rPr>
        <w:t>This failure to adequately provide the Royal Navy with effective resources is replicated across our defence sector, representing an abject failure of the intentions of the current UK Government to deliver an effective defence industrial strategy for the UK. This is further emphasised by the failure to publish the Defence Investment Plan which was promised last year and is being continually delayed.</w:t>
      </w:r>
    </w:p>
    <w:p w:rsidRPr="002C46DB" w:rsidR="00FC1718" w:rsidP="00FC1718" w:rsidRDefault="00FC1718" w14:paraId="76293DD6" w14:textId="77777777">
      <w:pPr>
        <w:rPr>
          <w:rFonts w:asciiTheme="minorHAnsi" w:hAnsiTheme="minorHAnsi" w:cstheme="minorHAnsi"/>
          <w:noProof/>
        </w:rPr>
      </w:pPr>
      <w:r w:rsidRPr="002C46DB">
        <w:rPr>
          <w:rFonts w:asciiTheme="minorHAnsi" w:hAnsiTheme="minorHAnsi" w:cstheme="minorHAnsi"/>
          <w:noProof/>
        </w:rPr>
        <w:t>Failure to invest in our defence workforce and infrastructure has significant ramifications for our national resilience. As recent conflicts have shown, national resilience in energy, telecoms and aviation are vulnerable when we do not properly invest in the defence sector.</w:t>
      </w:r>
    </w:p>
    <w:p w:rsidRPr="002C46DB" w:rsidR="00FC1718" w:rsidP="00FC1718" w:rsidRDefault="00FC1718" w14:paraId="27362A2A" w14:textId="77777777">
      <w:pPr>
        <w:rPr>
          <w:rFonts w:asciiTheme="minorHAnsi" w:hAnsiTheme="minorHAnsi" w:cstheme="minorHAnsi"/>
          <w:noProof/>
        </w:rPr>
      </w:pPr>
      <w:r w:rsidRPr="002C46DB">
        <w:rPr>
          <w:rFonts w:asciiTheme="minorHAnsi" w:hAnsiTheme="minorHAnsi" w:cstheme="minorHAnsi"/>
          <w:noProof/>
        </w:rPr>
        <w:t>This is exacerbated by the straining of transatlantic relations following the unilateral actions of the US Government in Iran. We are already seeing a move by European allies to distance themselves from US resource provision and the UK must be prepared in the event of any long-term re-evaluation of our defence relationships with the US.</w:t>
      </w:r>
    </w:p>
    <w:p w:rsidRPr="002C46DB" w:rsidR="00FC1718" w:rsidP="00FC1718" w:rsidRDefault="00FC1718" w14:paraId="63FC44A1" w14:textId="77777777">
      <w:pPr>
        <w:rPr>
          <w:rFonts w:asciiTheme="minorHAnsi" w:hAnsiTheme="minorHAnsi" w:cstheme="minorHAnsi"/>
          <w:noProof/>
        </w:rPr>
      </w:pPr>
      <w:r w:rsidRPr="002C46DB">
        <w:rPr>
          <w:rFonts w:asciiTheme="minorHAnsi" w:hAnsiTheme="minorHAnsi" w:cstheme="minorHAnsi"/>
          <w:noProof/>
        </w:rPr>
        <w:t xml:space="preserve">It is vital that Prospect supports and amplifies the calls for a properly resourced defence industrial strategy and for UK-based defence procurement. </w:t>
      </w:r>
    </w:p>
    <w:p w:rsidRPr="002C46DB" w:rsidR="00FC1718" w:rsidP="00FC1718" w:rsidRDefault="00FC1718" w14:paraId="5FE1B73E" w14:textId="77777777">
      <w:pPr>
        <w:rPr>
          <w:rFonts w:asciiTheme="minorHAnsi" w:hAnsiTheme="minorHAnsi" w:cstheme="minorHAnsi"/>
          <w:noProof/>
        </w:rPr>
      </w:pPr>
      <w:r w:rsidRPr="002C46DB">
        <w:rPr>
          <w:rFonts w:asciiTheme="minorHAnsi" w:hAnsiTheme="minorHAnsi" w:cstheme="minorHAnsi"/>
          <w:noProof/>
        </w:rPr>
        <w:t>Conference instructs the NEC to:</w:t>
      </w:r>
    </w:p>
    <w:p w:rsidRPr="002C46DB" w:rsidR="00FC1718" w:rsidP="00FC1718" w:rsidRDefault="00FC1718" w14:paraId="713FAECC" w14:textId="77777777">
      <w:pPr>
        <w:rPr>
          <w:rFonts w:asciiTheme="minorHAnsi" w:hAnsiTheme="minorHAnsi" w:cstheme="minorHAnsi"/>
          <w:noProof/>
        </w:rPr>
      </w:pPr>
      <w:r w:rsidRPr="002C46DB">
        <w:rPr>
          <w:rFonts w:asciiTheme="minorHAnsi" w:hAnsiTheme="minorHAnsi" w:cstheme="minorHAnsi"/>
          <w:noProof/>
        </w:rPr>
        <w:t>•</w:t>
      </w:r>
      <w:r w:rsidRPr="002C46DB">
        <w:rPr>
          <w:rFonts w:asciiTheme="minorHAnsi" w:hAnsiTheme="minorHAnsi" w:cstheme="minorHAnsi"/>
          <w:noProof/>
        </w:rPr>
        <w:tab/>
      </w:r>
      <w:r w:rsidRPr="002C46DB">
        <w:rPr>
          <w:rFonts w:asciiTheme="minorHAnsi" w:hAnsiTheme="minorHAnsi" w:cstheme="minorHAnsi"/>
          <w:noProof/>
        </w:rPr>
        <w:t>Campaign for the Government to commit to a level of defence spending which supports the requirements of British defence and trade policy and which delivers high quality unionised jobs for our members across the UK, including lobbying for the immediate publication of a fully-funded Defence Investment Plan.</w:t>
      </w:r>
    </w:p>
    <w:p w:rsidRPr="002C46DB" w:rsidR="00FC1718" w:rsidP="00FC1718" w:rsidRDefault="00FC1718" w14:paraId="3321A9D1" w14:textId="77777777">
      <w:pPr>
        <w:rPr>
          <w:rFonts w:asciiTheme="minorHAnsi" w:hAnsiTheme="minorHAnsi" w:cstheme="minorHAnsi"/>
          <w:noProof/>
        </w:rPr>
      </w:pPr>
      <w:r w:rsidRPr="002C46DB">
        <w:rPr>
          <w:rFonts w:asciiTheme="minorHAnsi" w:hAnsiTheme="minorHAnsi" w:cstheme="minorHAnsi"/>
          <w:noProof/>
        </w:rPr>
        <w:t>•</w:t>
      </w:r>
      <w:r w:rsidRPr="002C46DB">
        <w:rPr>
          <w:rFonts w:asciiTheme="minorHAnsi" w:hAnsiTheme="minorHAnsi" w:cstheme="minorHAnsi"/>
          <w:noProof/>
        </w:rPr>
        <w:tab/>
      </w:r>
      <w:r w:rsidRPr="002C46DB">
        <w:rPr>
          <w:rFonts w:asciiTheme="minorHAnsi" w:hAnsiTheme="minorHAnsi" w:cstheme="minorHAnsi"/>
          <w:noProof/>
        </w:rPr>
        <w:t>Campaign for the Government to pursue a closer relationship on defence with our European allies in light of changing relationships with the US.”</w:t>
      </w:r>
    </w:p>
    <w:p w:rsidR="00FC1718" w:rsidP="00FC1718" w:rsidRDefault="00FC1718" w14:paraId="2D7C8B5F" w14:textId="77777777">
      <w:pPr>
        <w:rPr>
          <w:rFonts w:asciiTheme="minorHAnsi" w:hAnsiTheme="minorHAnsi" w:cstheme="minorHAnsi"/>
          <w:i/>
          <w:iCs/>
          <w:noProof/>
        </w:rPr>
      </w:pPr>
      <w:r w:rsidRPr="002C46DB">
        <w:rPr>
          <w:rFonts w:asciiTheme="minorHAnsi" w:hAnsiTheme="minorHAnsi" w:cstheme="minorHAnsi"/>
          <w:i/>
          <w:iCs/>
          <w:noProof/>
        </w:rPr>
        <w:t>Royal Rosyth dockyard</w:t>
      </w:r>
    </w:p>
    <w:p w:rsidR="008C0F63" w:rsidP="00C40D82" w:rsidRDefault="008C0F63" w14:paraId="49944BA9" w14:textId="1667F924">
      <w:pPr>
        <w:pStyle w:val="letter-subject-line"/>
      </w:pPr>
      <w:r>
        <w:t>SOC recommendation reason</w:t>
      </w:r>
      <w:r w:rsidR="00C40D82">
        <w:t>:</w:t>
      </w:r>
    </w:p>
    <w:p w:rsidRPr="008C0F63" w:rsidR="008C0F63" w:rsidP="00FC1718" w:rsidRDefault="00903C32" w14:paraId="3A45049C" w14:textId="1B084352">
      <w:pPr>
        <w:rPr>
          <w:rFonts w:asciiTheme="minorHAnsi" w:hAnsiTheme="minorHAnsi" w:cstheme="minorHAnsi"/>
          <w:noProof/>
        </w:rPr>
      </w:pPr>
      <w:r>
        <w:rPr>
          <w:rFonts w:asciiTheme="minorHAnsi" w:hAnsiTheme="minorHAnsi" w:cstheme="minorHAnsi"/>
          <w:noProof/>
        </w:rPr>
        <w:t>The unexpected decommissioning of HMS</w:t>
      </w:r>
      <w:r w:rsidR="00A93CEA">
        <w:rPr>
          <w:rFonts w:asciiTheme="minorHAnsi" w:hAnsiTheme="minorHAnsi" w:cstheme="minorHAnsi"/>
          <w:noProof/>
        </w:rPr>
        <w:t xml:space="preserve"> Iron Duke on 6 May 2026.</w:t>
      </w:r>
    </w:p>
    <w:p w:rsidRPr="002C46DB" w:rsidR="00FC1718" w:rsidP="00C40D82" w:rsidRDefault="00FC1718" w14:paraId="1DFB8A30" w14:textId="0A08DACB">
      <w:pPr>
        <w:pStyle w:val="Referencebackheading"/>
      </w:pPr>
      <w:r w:rsidRPr="002C46DB">
        <w:t xml:space="preserve">EM6 </w:t>
      </w:r>
    </w:p>
    <w:p w:rsidRPr="00BB6782" w:rsidR="00FC1718" w:rsidP="00C40D82" w:rsidRDefault="00FC1718" w14:paraId="1ECAA0D5" w14:textId="7E6324AA">
      <w:pPr>
        <w:pStyle w:val="Heading3"/>
        <w:rPr>
          <w:bCs/>
          <w:noProof/>
        </w:rPr>
      </w:pPr>
      <w:r w:rsidRPr="002C46DB">
        <w:rPr>
          <w:noProof/>
        </w:rPr>
        <w:t>The governments deregulatory agenda and future threats</w:t>
      </w:r>
      <w:r w:rsidRPr="002C46DB">
        <w:rPr>
          <w:bCs/>
          <w:noProof/>
        </w:rPr>
        <w:t xml:space="preserve"> </w:t>
      </w:r>
    </w:p>
    <w:p w:rsidRPr="002C46DB" w:rsidR="00FC1718" w:rsidP="00FC1718" w:rsidRDefault="00FC1718" w14:paraId="5E88C825" w14:textId="77777777">
      <w:pPr>
        <w:rPr>
          <w:rFonts w:asciiTheme="minorHAnsi" w:hAnsiTheme="minorHAnsi" w:cstheme="minorHAnsi"/>
        </w:rPr>
      </w:pPr>
      <w:r w:rsidRPr="002C46DB">
        <w:rPr>
          <w:rFonts w:asciiTheme="minorHAnsi" w:hAnsiTheme="minorHAnsi" w:cstheme="minorHAnsi"/>
        </w:rPr>
        <w:t>Conference notes the recent events of;</w:t>
      </w:r>
    </w:p>
    <w:p w:rsidRPr="002C46DB" w:rsidR="00FC1718" w:rsidP="00C40D82" w:rsidRDefault="00FC1718" w14:paraId="40731932" w14:textId="0163571E">
      <w:pPr>
        <w:pStyle w:val="ListBullet"/>
      </w:pPr>
      <w:r w:rsidRPr="002C46DB">
        <w:t xml:space="preserve">The publishing of the government’s response to the Fingleton Review (13 March 2026) </w:t>
      </w:r>
    </w:p>
    <w:p w:rsidRPr="002C46DB" w:rsidR="00FC1718" w:rsidP="00C40D82" w:rsidRDefault="00FC1718" w14:paraId="1A9A6045" w14:textId="5B11B9E4">
      <w:pPr>
        <w:pStyle w:val="ListBullet"/>
      </w:pPr>
      <w:r w:rsidRPr="002C46DB">
        <w:t>Discussions between Prospects General Secretary and the senior management of HSE (28 April 2026) regarding emerging concerns around the Department of Business and Trades initiative of health and safety ‘deep dives’</w:t>
      </w:r>
    </w:p>
    <w:p w:rsidRPr="002C46DB" w:rsidR="00FC1718" w:rsidP="00C40D82" w:rsidRDefault="00FC1718" w14:paraId="2F6BE706" w14:textId="52154F2C">
      <w:pPr>
        <w:pStyle w:val="ListBullet"/>
      </w:pPr>
      <w:r w:rsidRPr="002C46DB">
        <w:t>The Kings Speech (13 May 2026)</w:t>
      </w:r>
    </w:p>
    <w:p w:rsidRPr="002C46DB" w:rsidR="00FC1718" w:rsidP="00FC1718" w:rsidRDefault="00FC1718" w14:paraId="598A8E3F" w14:textId="77777777">
      <w:pPr>
        <w:rPr>
          <w:rFonts w:asciiTheme="minorHAnsi" w:hAnsiTheme="minorHAnsi" w:cstheme="minorHAnsi"/>
        </w:rPr>
      </w:pPr>
      <w:r w:rsidRPr="002C46DB">
        <w:rPr>
          <w:rFonts w:asciiTheme="minorHAnsi" w:hAnsiTheme="minorHAnsi" w:cstheme="minorHAnsi"/>
        </w:rPr>
        <w:t>Conference will be concerned that each of these events have raised the spectre of deregulation of health and safety norms in conventional industry sectors, major hazard areas and also nuclear safety, negatively impacting on Prospect members across the union.</w:t>
      </w:r>
    </w:p>
    <w:p w:rsidRPr="002C46DB" w:rsidR="00FC1718" w:rsidP="00746074" w:rsidRDefault="00FC1718" w14:paraId="337FE227" w14:textId="3FB6703A">
      <w:pPr>
        <w:pStyle w:val="ListBullet"/>
      </w:pPr>
      <w:r w:rsidRPr="002C46DB">
        <w:t>The response to the Fingleton review, includes a commitment to legislating a definition of proportionality in the HSW Act which could impact on the application of the As Low As Reasonably Practicable (ALARP) and So Far As Is Reasonably Practicable (SFAIRP) concepts of risk management with implications wider than the nuclear sector.</w:t>
      </w:r>
    </w:p>
    <w:p w:rsidRPr="002C46DB" w:rsidR="00FC1718" w:rsidP="00746074" w:rsidRDefault="00FC1718" w14:paraId="4C13AEC9" w14:textId="6A6FD9B2">
      <w:pPr>
        <w:pStyle w:val="ListBullet"/>
      </w:pPr>
      <w:r w:rsidRPr="002C46DB">
        <w:t xml:space="preserve">The DBT deep dives focus solely on employer concerns about regulation, and ignore resourcing and staffing pressures faced by HSE and other regulators </w:t>
      </w:r>
    </w:p>
    <w:p w:rsidRPr="002C46DB" w:rsidR="00FC1718" w:rsidP="00746074" w:rsidRDefault="00FC1718" w14:paraId="2A252CD6" w14:textId="64EFD84E">
      <w:pPr>
        <w:pStyle w:val="ListBullet"/>
      </w:pPr>
      <w:r w:rsidRPr="002C46DB">
        <w:t>The Kings Speech includes a Bill to introduce a new Growth Duty on regulators and envisages statutory ministerial powers to issue ‘strategic steers’ to define the meaning of growth, in regulatory sector contexts.</w:t>
      </w:r>
    </w:p>
    <w:p w:rsidRPr="002C46DB" w:rsidR="00FC1718" w:rsidP="003611C1" w:rsidRDefault="00FC1718" w14:paraId="6F35E315" w14:textId="77777777">
      <w:pPr>
        <w:pStyle w:val="ListBullet"/>
        <w:numPr>
          <w:ilvl w:val="0"/>
          <w:numId w:val="0"/>
        </w:numPr>
      </w:pPr>
      <w:r w:rsidRPr="002C46DB">
        <w:t>Conference recognises that;</w:t>
      </w:r>
    </w:p>
    <w:p w:rsidRPr="002C46DB" w:rsidR="00FC1718" w:rsidP="00746074" w:rsidRDefault="00FC1718" w14:paraId="01559891" w14:textId="16589AF3">
      <w:pPr>
        <w:pStyle w:val="ListBullet"/>
      </w:pPr>
      <w:r w:rsidRPr="002C46DB">
        <w:t xml:space="preserve">There is significant risk in providing ministers with powers to steer regulators, particularly if a future government is less concerned with worker and public safety. </w:t>
      </w:r>
    </w:p>
    <w:p w:rsidRPr="002C46DB" w:rsidR="00FC1718" w:rsidP="00746074" w:rsidRDefault="00FC1718" w14:paraId="4BCA9092" w14:textId="20EB784A">
      <w:pPr>
        <w:pStyle w:val="ListBullet"/>
      </w:pPr>
      <w:r w:rsidRPr="002C46DB">
        <w:t xml:space="preserve">Similarly, any move to erode the definition of proportionality may have unintentional consequences wider than in nuclear safety. </w:t>
      </w:r>
    </w:p>
    <w:p w:rsidRPr="002C46DB" w:rsidR="00FC1718" w:rsidP="00FC1718" w:rsidRDefault="00FC1718" w14:paraId="35191D16" w14:textId="77777777">
      <w:pPr>
        <w:rPr>
          <w:rFonts w:asciiTheme="minorHAnsi" w:hAnsiTheme="minorHAnsi" w:cstheme="minorHAnsi"/>
        </w:rPr>
      </w:pPr>
      <w:r w:rsidRPr="002C46DB">
        <w:rPr>
          <w:rFonts w:asciiTheme="minorHAnsi" w:hAnsiTheme="minorHAnsi" w:cstheme="minorHAnsi"/>
        </w:rPr>
        <w:t xml:space="preserve">Conference believes that the current debate about regulation is dangerously divorced from the reality of the situation faced by Prospect members working in regulation. Recent cuts and restructures have left regulators struggling to perform their existing functions, and have put important public policy goals at risk. Conference agrees that properly funding and staffing our regulators is the only way to resolve the concerns of ministers, employers, wider business, trade unions and workers. </w:t>
      </w:r>
    </w:p>
    <w:p w:rsidRPr="002C46DB" w:rsidR="00FC1718" w:rsidP="00FC1718" w:rsidRDefault="00FC1718" w14:paraId="1F7DB773" w14:textId="77777777">
      <w:pPr>
        <w:rPr>
          <w:rFonts w:asciiTheme="minorHAnsi" w:hAnsiTheme="minorHAnsi" w:cstheme="minorHAnsi"/>
        </w:rPr>
      </w:pPr>
      <w:r w:rsidRPr="002C46DB">
        <w:rPr>
          <w:rFonts w:asciiTheme="minorHAnsi" w:hAnsiTheme="minorHAnsi" w:cstheme="minorHAnsi"/>
        </w:rPr>
        <w:t>Conference welcomes recent Prospect initiatives to highlight the situation facing regulators, such as the Builders not Blockers report, and work to influence the Fingleton Review. Conference further believes that these efforts must be redoubled in the wake of current challenges.</w:t>
      </w:r>
    </w:p>
    <w:p w:rsidRPr="002C46DB" w:rsidR="00FC1718" w:rsidP="00FC1718" w:rsidRDefault="00FC1718" w14:paraId="34F3842E" w14:textId="77777777">
      <w:pPr>
        <w:rPr>
          <w:rFonts w:asciiTheme="minorHAnsi" w:hAnsiTheme="minorHAnsi" w:cstheme="minorHAnsi"/>
        </w:rPr>
      </w:pPr>
      <w:r w:rsidRPr="002C46DB">
        <w:rPr>
          <w:rFonts w:asciiTheme="minorHAnsi" w:hAnsiTheme="minorHAnsi" w:cstheme="minorHAnsi"/>
        </w:rPr>
        <w:t>Conference therefore instructs the NEC to support a National Campaign to combat deregulation and safeguard the health and safety of Prospect members, working with key branches and their sectors. This campaign should focus on a call for improved resources in the HSE and other regulatory bodies.</w:t>
      </w:r>
    </w:p>
    <w:p w:rsidRPr="002C46DB" w:rsidR="00FC1718" w:rsidP="00FC1718" w:rsidRDefault="00FC1718" w14:paraId="7D22A489" w14:textId="77777777">
      <w:pPr>
        <w:rPr>
          <w:rFonts w:asciiTheme="minorHAnsi" w:hAnsiTheme="minorHAnsi" w:cstheme="minorHAnsi"/>
          <w:i/>
          <w:iCs/>
        </w:rPr>
      </w:pPr>
      <w:r w:rsidRPr="002C46DB">
        <w:rPr>
          <w:rFonts w:asciiTheme="minorHAnsi" w:hAnsiTheme="minorHAnsi" w:cstheme="minorHAnsi"/>
          <w:i/>
          <w:iCs/>
        </w:rPr>
        <w:t>Health &amp; Safety Executive, Section: K050/AB Midlands and South West / Wales</w:t>
      </w:r>
    </w:p>
    <w:p w:rsidR="00A93CEA" w:rsidP="00746074" w:rsidRDefault="00A93CEA" w14:paraId="6E769FF6" w14:textId="3CC4AF7E">
      <w:pPr>
        <w:pStyle w:val="letter-subject-line"/>
      </w:pPr>
      <w:r>
        <w:t>SOC recommendation reason</w:t>
      </w:r>
      <w:r w:rsidR="00746074">
        <w:t>:</w:t>
      </w:r>
    </w:p>
    <w:p w:rsidRPr="00A93CEA" w:rsidR="00FC1718" w:rsidP="00FC1718" w:rsidRDefault="00EE26BC" w14:paraId="350F1514" w14:textId="3075B9F6">
      <w:pPr>
        <w:rPr>
          <w:rFonts w:asciiTheme="minorHAnsi" w:hAnsiTheme="minorHAnsi" w:cstheme="minorHAnsi"/>
        </w:rPr>
      </w:pPr>
      <w:r>
        <w:rPr>
          <w:rFonts w:asciiTheme="minorHAnsi" w:hAnsiTheme="minorHAnsi" w:cstheme="minorHAnsi"/>
        </w:rPr>
        <w:t xml:space="preserve">Significant events </w:t>
      </w:r>
      <w:r w:rsidR="003B7F74">
        <w:rPr>
          <w:rFonts w:asciiTheme="minorHAnsi" w:hAnsiTheme="minorHAnsi" w:cstheme="minorHAnsi"/>
        </w:rPr>
        <w:t xml:space="preserve">taking place from </w:t>
      </w:r>
      <w:r w:rsidR="00E44C90">
        <w:rPr>
          <w:rFonts w:asciiTheme="minorHAnsi" w:hAnsiTheme="minorHAnsi" w:cstheme="minorHAnsi"/>
        </w:rPr>
        <w:t>13 March 2026</w:t>
      </w:r>
      <w:r w:rsidR="003B7F74">
        <w:rPr>
          <w:rFonts w:asciiTheme="minorHAnsi" w:hAnsiTheme="minorHAnsi" w:cstheme="minorHAnsi"/>
        </w:rPr>
        <w:t xml:space="preserve"> onwards.</w:t>
      </w:r>
    </w:p>
    <w:p w:rsidRPr="002C46DB" w:rsidR="00FC1718" w:rsidP="00FC1718" w:rsidRDefault="00FC1718" w14:paraId="1EA87D1B" w14:textId="77777777">
      <w:pPr>
        <w:rPr>
          <w:rFonts w:asciiTheme="minorHAnsi" w:hAnsiTheme="minorHAnsi" w:cstheme="minorHAnsi"/>
          <w:b/>
          <w:bCs/>
        </w:rPr>
      </w:pPr>
    </w:p>
    <w:p w:rsidRPr="002C46DB" w:rsidR="00FC1718" w:rsidP="00746074" w:rsidRDefault="00FC1718" w14:paraId="40D42A4F" w14:textId="217B1607">
      <w:pPr>
        <w:pStyle w:val="Referencebackheading"/>
      </w:pPr>
      <w:r w:rsidRPr="002C46DB">
        <w:t>EM8</w:t>
      </w:r>
    </w:p>
    <w:p w:rsidRPr="007F5BAF" w:rsidR="00FC1718" w:rsidP="00746074" w:rsidRDefault="00153F3C" w14:paraId="7B0A3E3C" w14:textId="3FE7B7CC">
      <w:pPr>
        <w:pStyle w:val="Heading3"/>
        <w:rPr>
          <w:bCs/>
          <w:noProof/>
        </w:rPr>
      </w:pPr>
      <w:r>
        <w:rPr>
          <w:noProof/>
        </w:rPr>
        <w:t>Investment in</w:t>
      </w:r>
      <w:r w:rsidR="00765B61">
        <w:rPr>
          <w:noProof/>
        </w:rPr>
        <w:t xml:space="preserve"> DNOs as part of drive to Net Zero</w:t>
      </w:r>
    </w:p>
    <w:p w:rsidRPr="002C46DB" w:rsidR="00FC1718" w:rsidP="00FC1718" w:rsidRDefault="00FC1718" w14:paraId="53028280" w14:textId="1D80D090">
      <w:pPr>
        <w:rPr>
          <w:rFonts w:asciiTheme="minorHAnsi" w:hAnsiTheme="minorHAnsi" w:cstheme="minorHAnsi"/>
        </w:rPr>
      </w:pPr>
      <w:r w:rsidRPr="002C46DB">
        <w:rPr>
          <w:rFonts w:asciiTheme="minorHAnsi" w:hAnsiTheme="minorHAnsi" w:cstheme="minorHAnsi"/>
        </w:rPr>
        <w:t xml:space="preserve">Conference notes the publication of the ‘Well Adapted UK’ report by the Committee on Climate </w:t>
      </w:r>
      <w:r w:rsidR="001633CE">
        <w:rPr>
          <w:rFonts w:asciiTheme="minorHAnsi" w:hAnsiTheme="minorHAnsi" w:cstheme="minorHAnsi"/>
        </w:rPr>
        <w:t>C</w:t>
      </w:r>
      <w:r w:rsidRPr="002C46DB">
        <w:rPr>
          <w:rFonts w:asciiTheme="minorHAnsi" w:hAnsiTheme="minorHAnsi" w:cstheme="minorHAnsi"/>
        </w:rPr>
        <w:t xml:space="preserve">hange </w:t>
      </w:r>
      <w:r w:rsidR="000F597B">
        <w:rPr>
          <w:rFonts w:asciiTheme="minorHAnsi" w:hAnsiTheme="minorHAnsi" w:cstheme="minorHAnsi"/>
        </w:rPr>
        <w:t xml:space="preserve">(CCC) </w:t>
      </w:r>
      <w:r w:rsidRPr="002C46DB">
        <w:rPr>
          <w:rFonts w:asciiTheme="minorHAnsi" w:hAnsiTheme="minorHAnsi" w:cstheme="minorHAnsi"/>
        </w:rPr>
        <w:t xml:space="preserve">on 20 May and is concerned about the CCC’s warnings about the catastrophic effects of climate change across the UK. Conference further notes that investment in our electricity networks is essential to combat this threat and to improve energy security through roll out of clean energy sources. </w:t>
      </w:r>
    </w:p>
    <w:p w:rsidRPr="002C46DB" w:rsidR="00FC1718" w:rsidP="00FC1718" w:rsidRDefault="00FC1718" w14:paraId="22554856" w14:textId="77777777">
      <w:pPr>
        <w:rPr>
          <w:rFonts w:asciiTheme="minorHAnsi" w:hAnsiTheme="minorHAnsi" w:cstheme="minorHAnsi"/>
        </w:rPr>
      </w:pPr>
      <w:r w:rsidRPr="002C46DB">
        <w:rPr>
          <w:rFonts w:asciiTheme="minorHAnsi" w:hAnsiTheme="minorHAnsi" w:cstheme="minorHAnsi"/>
        </w:rPr>
        <w:t>Conference also recognises that years of under-investment coupled with increased demand for electricity, the impact of climate change and fewer engineers leading to increased workload is placing ever increasing demands on network operations.</w:t>
      </w:r>
    </w:p>
    <w:p w:rsidRPr="002C46DB" w:rsidR="00FC1718" w:rsidP="00FC1718" w:rsidRDefault="00FC1718" w14:paraId="3CC4CAEF" w14:textId="77777777">
      <w:pPr>
        <w:rPr>
          <w:rFonts w:asciiTheme="minorHAnsi" w:hAnsiTheme="minorHAnsi" w:cstheme="minorHAnsi"/>
        </w:rPr>
      </w:pPr>
      <w:r w:rsidRPr="002C46DB">
        <w:rPr>
          <w:rFonts w:asciiTheme="minorHAnsi" w:hAnsiTheme="minorHAnsi" w:cstheme="minorHAnsi"/>
        </w:rPr>
        <w:t>Conference supports the growth of good, unionised clean energy jobs as set out by Government, but is concerned that this is patchy across network companies. Prospect’s recent research into pay rates across the distribution network operators has highlighted that there are significant differences in remuneration across what are effectively local monopolies. Further it is clear that workforce resilience is under strain due to under-resourcing. Yet these companies, largely owned by overseas investment funds, are extracting huge dividends from extremely profitable businesses.</w:t>
      </w:r>
    </w:p>
    <w:p w:rsidRPr="002C46DB" w:rsidR="00FC1718" w:rsidP="00FC1718" w:rsidRDefault="00FC1718" w14:paraId="64A9F56F" w14:textId="0A1EA158">
      <w:pPr>
        <w:rPr>
          <w:rFonts w:asciiTheme="minorHAnsi" w:hAnsiTheme="minorHAnsi" w:cstheme="minorHAnsi"/>
        </w:rPr>
      </w:pPr>
      <w:r w:rsidRPr="002C46DB">
        <w:rPr>
          <w:rFonts w:asciiTheme="minorHAnsi" w:hAnsiTheme="minorHAnsi" w:cstheme="minorHAnsi"/>
        </w:rPr>
        <w:t>Conference notes that the two poorest performing D</w:t>
      </w:r>
      <w:r w:rsidR="001074F6">
        <w:rPr>
          <w:rFonts w:asciiTheme="minorHAnsi" w:hAnsiTheme="minorHAnsi" w:cstheme="minorHAnsi"/>
        </w:rPr>
        <w:t xml:space="preserve">istribution </w:t>
      </w:r>
      <w:r w:rsidRPr="002C46DB">
        <w:rPr>
          <w:rFonts w:asciiTheme="minorHAnsi" w:hAnsiTheme="minorHAnsi" w:cstheme="minorHAnsi"/>
        </w:rPr>
        <w:t>N</w:t>
      </w:r>
      <w:r w:rsidR="001074F6">
        <w:rPr>
          <w:rFonts w:asciiTheme="minorHAnsi" w:hAnsiTheme="minorHAnsi" w:cstheme="minorHAnsi"/>
        </w:rPr>
        <w:t xml:space="preserve">etwork </w:t>
      </w:r>
      <w:r w:rsidRPr="002C46DB">
        <w:rPr>
          <w:rFonts w:asciiTheme="minorHAnsi" w:hAnsiTheme="minorHAnsi" w:cstheme="minorHAnsi"/>
        </w:rPr>
        <w:t>O</w:t>
      </w:r>
      <w:r w:rsidR="001074F6">
        <w:rPr>
          <w:rFonts w:asciiTheme="minorHAnsi" w:hAnsiTheme="minorHAnsi" w:cstheme="minorHAnsi"/>
        </w:rPr>
        <w:t>perator</w:t>
      </w:r>
      <w:r w:rsidR="001633CE">
        <w:rPr>
          <w:rFonts w:asciiTheme="minorHAnsi" w:hAnsiTheme="minorHAnsi" w:cstheme="minorHAnsi"/>
        </w:rPr>
        <w:t>s</w:t>
      </w:r>
      <w:r w:rsidR="000F597B">
        <w:rPr>
          <w:rFonts w:asciiTheme="minorHAnsi" w:hAnsiTheme="minorHAnsi" w:cstheme="minorHAnsi"/>
        </w:rPr>
        <w:t xml:space="preserve"> (DNO</w:t>
      </w:r>
      <w:r w:rsidR="00AE297B">
        <w:rPr>
          <w:rFonts w:asciiTheme="minorHAnsi" w:hAnsiTheme="minorHAnsi" w:cstheme="minorHAnsi"/>
        </w:rPr>
        <w:t>s</w:t>
      </w:r>
      <w:r w:rsidR="000F597B">
        <w:rPr>
          <w:rFonts w:asciiTheme="minorHAnsi" w:hAnsiTheme="minorHAnsi" w:cstheme="minorHAnsi"/>
        </w:rPr>
        <w:t>)</w:t>
      </w:r>
      <w:r w:rsidRPr="002C46DB">
        <w:rPr>
          <w:rFonts w:asciiTheme="minorHAnsi" w:hAnsiTheme="minorHAnsi" w:cstheme="minorHAnsi"/>
        </w:rPr>
        <w:t xml:space="preserve"> are the poorest payers.</w:t>
      </w:r>
    </w:p>
    <w:p w:rsidRPr="002C46DB" w:rsidR="00FC1718" w:rsidP="00FC1718" w:rsidRDefault="00FC1718" w14:paraId="67398F85" w14:textId="77777777">
      <w:pPr>
        <w:rPr>
          <w:rFonts w:asciiTheme="minorHAnsi" w:hAnsiTheme="minorHAnsi" w:cstheme="minorHAnsi"/>
        </w:rPr>
      </w:pPr>
      <w:r w:rsidRPr="002C46DB">
        <w:rPr>
          <w:rFonts w:asciiTheme="minorHAnsi" w:hAnsiTheme="minorHAnsi" w:cstheme="minorHAnsi"/>
        </w:rPr>
        <w:t>Consequently, Conference instructs the National Executive Committee to campaign for increased investment in skills and for greater alignment in pay and benefits to the standards of the best across the DNOs as part of the UK’s drive towards Net Zero.</w:t>
      </w:r>
    </w:p>
    <w:p w:rsidR="00FC1718" w:rsidP="00FC1718" w:rsidRDefault="00FC1718" w14:paraId="2643C63F" w14:textId="77777777">
      <w:pPr>
        <w:rPr>
          <w:rFonts w:asciiTheme="minorHAnsi" w:hAnsiTheme="minorHAnsi" w:cstheme="minorHAnsi"/>
          <w:i/>
          <w:iCs/>
        </w:rPr>
      </w:pPr>
      <w:r w:rsidRPr="002C46DB">
        <w:rPr>
          <w:rFonts w:asciiTheme="minorHAnsi" w:hAnsiTheme="minorHAnsi" w:cstheme="minorHAnsi"/>
          <w:i/>
          <w:iCs/>
        </w:rPr>
        <w:t>Scottish &amp; Southern Energy Branch</w:t>
      </w:r>
    </w:p>
    <w:p w:rsidR="00E44C90" w:rsidP="00746074" w:rsidRDefault="00E44C90" w14:paraId="7657DB45" w14:textId="293E503E">
      <w:pPr>
        <w:pStyle w:val="letter-subject-line"/>
      </w:pPr>
      <w:r>
        <w:t>SOC recommendation reason</w:t>
      </w:r>
      <w:r w:rsidR="00746074">
        <w:t>:</w:t>
      </w:r>
    </w:p>
    <w:p w:rsidR="00E44C90" w:rsidP="00FC1718" w:rsidRDefault="00DB348F" w14:paraId="01959E9C" w14:textId="0701C4F3">
      <w:pPr>
        <w:rPr>
          <w:rFonts w:asciiTheme="minorHAnsi" w:hAnsiTheme="minorHAnsi" w:cstheme="minorHAnsi"/>
        </w:rPr>
      </w:pPr>
      <w:r>
        <w:rPr>
          <w:rFonts w:asciiTheme="minorHAnsi" w:hAnsiTheme="minorHAnsi" w:cstheme="minorHAnsi"/>
        </w:rPr>
        <w:t>Publication of the ‘Well Adapted UK’ report on 20 May 2026.</w:t>
      </w:r>
    </w:p>
    <w:p w:rsidR="00BB6782" w:rsidP="00FC1718" w:rsidRDefault="00BB6782" w14:paraId="097B527C" w14:textId="77777777">
      <w:pPr>
        <w:rPr>
          <w:rFonts w:asciiTheme="minorHAnsi" w:hAnsiTheme="minorHAnsi" w:cstheme="minorHAnsi"/>
        </w:rPr>
      </w:pPr>
    </w:p>
    <w:p w:rsidR="00BB6782" w:rsidP="00746074" w:rsidRDefault="00BB6782" w14:paraId="294CBCD1" w14:textId="77777777">
      <w:pPr>
        <w:pStyle w:val="Referencebackheading"/>
      </w:pPr>
      <w:r>
        <w:t>EM10</w:t>
      </w:r>
    </w:p>
    <w:p w:rsidR="00BB6782" w:rsidP="00746074" w:rsidRDefault="00BB6782" w14:paraId="7FF45931" w14:textId="77777777">
      <w:pPr>
        <w:pStyle w:val="Heading3"/>
      </w:pPr>
      <w:r>
        <w:t>Europe</w:t>
      </w:r>
    </w:p>
    <w:p w:rsidRPr="00690925" w:rsidR="00BB6782" w:rsidP="00BB6782" w:rsidRDefault="00BB6782" w14:paraId="5C0EA0A3" w14:textId="77777777">
      <w:pPr>
        <w:rPr>
          <w:rFonts w:asciiTheme="minorHAnsi" w:hAnsiTheme="minorHAnsi" w:cstheme="minorHAnsi"/>
        </w:rPr>
      </w:pPr>
      <w:r w:rsidRPr="00690925">
        <w:rPr>
          <w:rFonts w:asciiTheme="minorHAnsi" w:hAnsiTheme="minorHAnsi" w:cstheme="minorHAnsi"/>
        </w:rPr>
        <w:t>Conference notes in a speech on 11 May 2026 the Prime Minister set out an intention to negotiate an ambitious new relationship with the EU.</w:t>
      </w:r>
    </w:p>
    <w:p w:rsidRPr="00690925" w:rsidR="00BB6782" w:rsidP="00BB6782" w:rsidRDefault="00BB6782" w14:paraId="38358686" w14:textId="77777777">
      <w:pPr>
        <w:rPr>
          <w:rFonts w:asciiTheme="minorHAnsi" w:hAnsiTheme="minorHAnsi" w:cstheme="minorHAnsi"/>
        </w:rPr>
      </w:pPr>
      <w:r w:rsidRPr="00690925">
        <w:rPr>
          <w:rFonts w:asciiTheme="minorHAnsi" w:hAnsiTheme="minorHAnsi" w:cstheme="minorHAnsi"/>
        </w:rPr>
        <w:t>Brexit has had a significant negative impact on the economy. Studies suggest GDP may be reduced by up to eight per cent, with consequences for jobs, investment, and workplace security. Prospect members have experienced this directly, particularly in science, the creative industries, aviation and other regulated sectors, where barriers to trade, collaboration and mobility have reduced opportunities and weakened long-term growth.</w:t>
      </w:r>
    </w:p>
    <w:p w:rsidRPr="00690925" w:rsidR="00BB6782" w:rsidP="00BB6782" w:rsidRDefault="00BB6782" w14:paraId="78769F70" w14:textId="77777777">
      <w:pPr>
        <w:rPr>
          <w:rFonts w:asciiTheme="minorHAnsi" w:hAnsiTheme="minorHAnsi" w:cstheme="minorHAnsi"/>
        </w:rPr>
      </w:pPr>
      <w:r w:rsidRPr="00690925">
        <w:rPr>
          <w:rFonts w:asciiTheme="minorHAnsi" w:hAnsiTheme="minorHAnsi" w:cstheme="minorHAnsi"/>
        </w:rPr>
        <w:t>The Government’s previous approach to the EU lacked ambition, with little progress on key issues affecting Prospect members, including touring visas for creative workers, participation in the SAFE defence fund, and alignment of professional qualifications.</w:t>
      </w:r>
    </w:p>
    <w:p w:rsidRPr="00690925" w:rsidR="00BB6782" w:rsidP="00BB6782" w:rsidRDefault="00BB6782" w14:paraId="79CF86F1" w14:textId="77777777">
      <w:pPr>
        <w:rPr>
          <w:rFonts w:asciiTheme="minorHAnsi" w:hAnsiTheme="minorHAnsi" w:cstheme="minorHAnsi"/>
        </w:rPr>
      </w:pPr>
      <w:r w:rsidRPr="00690925">
        <w:rPr>
          <w:rFonts w:asciiTheme="minorHAnsi" w:hAnsiTheme="minorHAnsi" w:cstheme="minorHAnsi"/>
        </w:rPr>
        <w:t>Without ongoing alignment with evolving EU workplace laws, UK workers risk falling behind on issues such as minimum wages, collective bargaining, voice in multinational companies, pay transparency, and work-life balance.</w:t>
      </w:r>
    </w:p>
    <w:p w:rsidRPr="00690925" w:rsidR="00BB6782" w:rsidP="00BB6782" w:rsidRDefault="00BB6782" w14:paraId="2978C41D" w14:textId="77777777">
      <w:pPr>
        <w:rPr>
          <w:rFonts w:asciiTheme="minorHAnsi" w:hAnsiTheme="minorHAnsi" w:cstheme="minorHAnsi"/>
        </w:rPr>
      </w:pPr>
      <w:r w:rsidRPr="00690925">
        <w:rPr>
          <w:rFonts w:asciiTheme="minorHAnsi" w:hAnsiTheme="minorHAnsi" w:cstheme="minorHAnsi"/>
        </w:rPr>
        <w:t>More fundamentally, as the world adjusts to the instability caused by President Trump, we are seeing more issues that are vital to the interests of Prospect members being decided at the EU level, from defence industrial strategy to the regulation of AI. The UK does not have a seat at the table for these discussions, and UK workers will suffer as a result.</w:t>
      </w:r>
    </w:p>
    <w:p w:rsidRPr="00690925" w:rsidR="00BB6782" w:rsidP="00BB6782" w:rsidRDefault="00BB6782" w14:paraId="19084A0E" w14:textId="77777777">
      <w:pPr>
        <w:rPr>
          <w:rFonts w:asciiTheme="minorHAnsi" w:hAnsiTheme="minorHAnsi" w:cstheme="minorHAnsi"/>
        </w:rPr>
      </w:pPr>
      <w:r w:rsidRPr="00690925">
        <w:rPr>
          <w:rFonts w:asciiTheme="minorHAnsi" w:hAnsiTheme="minorHAnsi" w:cstheme="minorHAnsi"/>
        </w:rPr>
        <w:t xml:space="preserve">Conference believes we share key strategic interests with other European countries. We believe that it is in the interest of our members, and in the national interest, for the UK to have the </w:t>
      </w:r>
      <w:r w:rsidRPr="00690925">
        <w:rPr>
          <w:rFonts w:asciiTheme="minorHAnsi" w:hAnsiTheme="minorHAnsi" w:cstheme="minorHAnsi"/>
        </w:rPr>
        <w:t>strongest possible relationship with our European allies and that this is what the government should aim for in these negotiations.</w:t>
      </w:r>
    </w:p>
    <w:p w:rsidRPr="00690925" w:rsidR="00BB6782" w:rsidP="00BB6782" w:rsidRDefault="00BB6782" w14:paraId="6E0DB36E" w14:textId="77777777">
      <w:pPr>
        <w:rPr>
          <w:rFonts w:asciiTheme="minorHAnsi" w:hAnsiTheme="minorHAnsi" w:cstheme="minorHAnsi"/>
        </w:rPr>
      </w:pPr>
      <w:r w:rsidRPr="00690925">
        <w:rPr>
          <w:rFonts w:asciiTheme="minorHAnsi" w:hAnsiTheme="minorHAnsi" w:cstheme="minorHAnsi"/>
        </w:rPr>
        <w:t>Conference instructs the National Executive Committee to:</w:t>
      </w:r>
    </w:p>
    <w:p w:rsidRPr="00690925" w:rsidR="00BB6782" w:rsidP="00746074" w:rsidRDefault="00BB6782" w14:paraId="1EA97395" w14:textId="6C619A83">
      <w:pPr>
        <w:pStyle w:val="ListBullet"/>
      </w:pPr>
      <w:r w:rsidRPr="00690925">
        <w:t>Develop and implement a strategy to persuade the Government to negotiate the deepest possible partnership with the EU, prioritising the needs of working people. This partnership should be guided by the national interest, not by arbitrary red lines, and no options should be off the table.</w:t>
      </w:r>
    </w:p>
    <w:p w:rsidRPr="00690925" w:rsidR="00BB6782" w:rsidP="00746074" w:rsidRDefault="00BB6782" w14:paraId="65C3CEE7" w14:textId="5BACDF94">
      <w:pPr>
        <w:pStyle w:val="ListBullet"/>
      </w:pPr>
      <w:r w:rsidRPr="00690925">
        <w:t>Lead this conversation in the wider trade union movement, including within the Trades Union Congress and by working in solidarity with like-minded unions in Europe, to build coordinated pressure for a worker-focused UK–EU relationship.</w:t>
      </w:r>
    </w:p>
    <w:p w:rsidRPr="00833D67" w:rsidR="00BB6782" w:rsidP="00833D67" w:rsidRDefault="00BB6782" w14:paraId="43D3A423" w14:textId="5EEF0A67">
      <w:pPr>
        <w:rPr>
          <w:rFonts w:asciiTheme="minorHAnsi" w:hAnsiTheme="minorHAnsi" w:cstheme="minorHAnsi"/>
          <w:i/>
          <w:iCs/>
        </w:rPr>
      </w:pPr>
      <w:r w:rsidRPr="00833D67">
        <w:rPr>
          <w:rFonts w:asciiTheme="minorHAnsi" w:hAnsiTheme="minorHAnsi" w:cstheme="minorHAnsi"/>
          <w:i/>
          <w:iCs/>
        </w:rPr>
        <w:t>EDF</w:t>
      </w:r>
    </w:p>
    <w:p w:rsidR="00FC1718" w:rsidP="00833D67" w:rsidRDefault="00B26CAB" w14:paraId="11192C11" w14:textId="136EF2E7">
      <w:pPr>
        <w:pStyle w:val="letter-subject-line"/>
      </w:pPr>
      <w:r>
        <w:t>SOC recommendation reason</w:t>
      </w:r>
      <w:r w:rsidR="00833D67">
        <w:t>:</w:t>
      </w:r>
    </w:p>
    <w:p w:rsidRPr="00B26CAB" w:rsidR="00B26CAB" w:rsidP="00FC1718" w:rsidRDefault="00B26CAB" w14:paraId="035A6DFC" w14:textId="3AD183CB">
      <w:pPr>
        <w:rPr>
          <w:rFonts w:asciiTheme="minorHAnsi" w:hAnsiTheme="minorHAnsi" w:cstheme="minorHAnsi"/>
          <w:i/>
          <w:iCs/>
        </w:rPr>
      </w:pPr>
      <w:r>
        <w:rPr>
          <w:rFonts w:asciiTheme="minorHAnsi" w:hAnsiTheme="minorHAnsi" w:cstheme="minorHAnsi"/>
        </w:rPr>
        <w:t>The Prime Minister’s speech on 11 May 2026 was considered significant</w:t>
      </w:r>
      <w:r w:rsidR="00AB50E2">
        <w:rPr>
          <w:rFonts w:asciiTheme="minorHAnsi" w:hAnsiTheme="minorHAnsi" w:cstheme="minorHAnsi"/>
        </w:rPr>
        <w:t>.</w:t>
      </w:r>
    </w:p>
    <w:p w:rsidR="00833D67" w:rsidP="00AE297B" w:rsidRDefault="00833D67" w14:paraId="47B9770E" w14:textId="77777777">
      <w:pPr>
        <w:rPr>
          <w:rFonts w:asciiTheme="minorHAnsi" w:hAnsiTheme="minorHAnsi" w:cstheme="minorHAnsi"/>
          <w:b/>
          <w:bCs/>
          <w:sz w:val="40"/>
          <w:szCs w:val="40"/>
        </w:rPr>
      </w:pPr>
    </w:p>
    <w:p w:rsidR="00AE297B" w:rsidP="00AE297B" w:rsidRDefault="00AE297B" w14:paraId="7581115E" w14:textId="41A73C1A">
      <w:pPr>
        <w:rPr>
          <w:rFonts w:asciiTheme="minorHAnsi" w:hAnsiTheme="minorHAnsi" w:cstheme="minorHAnsi"/>
          <w:b/>
          <w:bCs/>
          <w:sz w:val="40"/>
          <w:szCs w:val="40"/>
        </w:rPr>
      </w:pPr>
      <w:r w:rsidRPr="002C46DB">
        <w:rPr>
          <w:rFonts w:asciiTheme="minorHAnsi" w:hAnsiTheme="minorHAnsi" w:cstheme="minorHAnsi"/>
          <w:b/>
          <w:bCs/>
          <w:sz w:val="40"/>
          <w:szCs w:val="40"/>
        </w:rPr>
        <w:t xml:space="preserve">Emergency Motions </w:t>
      </w:r>
      <w:r>
        <w:rPr>
          <w:rFonts w:asciiTheme="minorHAnsi" w:hAnsiTheme="minorHAnsi" w:cstheme="minorHAnsi"/>
          <w:b/>
          <w:bCs/>
          <w:sz w:val="40"/>
          <w:szCs w:val="40"/>
        </w:rPr>
        <w:t>not recommended by the SOC for admittance to the Agenda</w:t>
      </w:r>
    </w:p>
    <w:p w:rsidRPr="002C46DB" w:rsidR="00FC1718" w:rsidP="00833D67" w:rsidRDefault="00FC1718" w14:paraId="09CD8165" w14:textId="51EB15A9">
      <w:pPr>
        <w:pStyle w:val="Referencebackheading"/>
      </w:pPr>
      <w:r w:rsidRPr="002C46DB">
        <w:t>EM3</w:t>
      </w:r>
    </w:p>
    <w:p w:rsidRPr="002C46DB" w:rsidR="00FC1718" w:rsidP="00833D67" w:rsidRDefault="00FC1718" w14:paraId="3FD04730" w14:textId="5728DA40">
      <w:pPr>
        <w:pStyle w:val="Heading3"/>
        <w:rPr>
          <w:bCs/>
          <w:noProof/>
        </w:rPr>
      </w:pPr>
      <w:r w:rsidRPr="002C46DB">
        <w:rPr>
          <w:noProof/>
        </w:rPr>
        <w:t>Creation of a Prospect antifascist forum </w:t>
      </w:r>
    </w:p>
    <w:p w:rsidRPr="002C46DB" w:rsidR="00FC1718" w:rsidP="00FC1718" w:rsidRDefault="00FC1718" w14:paraId="3447E603" w14:textId="77777777">
      <w:pPr>
        <w:rPr>
          <w:rFonts w:asciiTheme="minorHAnsi" w:hAnsiTheme="minorHAnsi" w:cstheme="minorHAnsi"/>
          <w:noProof/>
        </w:rPr>
      </w:pPr>
      <w:r w:rsidRPr="002C46DB">
        <w:rPr>
          <w:rFonts w:asciiTheme="minorHAnsi" w:hAnsiTheme="minorHAnsi" w:cstheme="minorHAnsi"/>
          <w:noProof/>
        </w:rPr>
        <w:t>Conference notices how the rise of the far right and the disastrous results of the last local elections of the 7th May affect our members’ working and personal lives and calls for a clear and strong opposition from the trade union movement and from our union. Prospect can really make the difference and lead the way by actively organising around the antifascist values that are at the core of the history and present of UK trade unions and the TUC.  </w:t>
      </w:r>
    </w:p>
    <w:p w:rsidRPr="002C46DB" w:rsidR="00FC1718" w:rsidP="00FC1718" w:rsidRDefault="00FC1718" w14:paraId="454FD84E" w14:textId="77777777">
      <w:pPr>
        <w:rPr>
          <w:rFonts w:asciiTheme="minorHAnsi" w:hAnsiTheme="minorHAnsi" w:cstheme="minorHAnsi"/>
          <w:noProof/>
        </w:rPr>
      </w:pPr>
      <w:r w:rsidRPr="002C46DB">
        <w:rPr>
          <w:rFonts w:asciiTheme="minorHAnsi" w:hAnsiTheme="minorHAnsi" w:cstheme="minorHAnsi"/>
          <w:noProof/>
        </w:rPr>
        <w:t>Conference instructs the NEC to create an antifascist forum open to all members and officials who want to discuss, train and campaign to fight the old and new forms of fascism that plague our working environments and our society.  </w:t>
      </w:r>
    </w:p>
    <w:p w:rsidRPr="002C46DB" w:rsidR="00FC1718" w:rsidP="00FC1718" w:rsidRDefault="00FC1718" w14:paraId="232A12A9" w14:textId="77777777">
      <w:pPr>
        <w:rPr>
          <w:rFonts w:asciiTheme="minorHAnsi" w:hAnsiTheme="minorHAnsi" w:cstheme="minorHAnsi"/>
          <w:noProof/>
        </w:rPr>
      </w:pPr>
      <w:r w:rsidRPr="002C46DB">
        <w:rPr>
          <w:rFonts w:asciiTheme="minorHAnsi" w:hAnsiTheme="minorHAnsi" w:cstheme="minorHAnsi"/>
          <w:noProof/>
        </w:rPr>
        <w:t>A communication will be sent to all members with an invitation to join the forum, its members will decide the aims and how they will interact (whatsapp group, newsletter, meetings, etc) and will report back to the NEC. </w:t>
      </w:r>
    </w:p>
    <w:p w:rsidRPr="002C46DB" w:rsidR="00FC1718" w:rsidP="00FC1718" w:rsidRDefault="00FC1718" w14:paraId="201AAD92" w14:textId="7F623702">
      <w:pPr>
        <w:rPr>
          <w:rFonts w:asciiTheme="minorHAnsi" w:hAnsiTheme="minorHAnsi" w:cstheme="minorHAnsi"/>
          <w:i/>
          <w:iCs/>
          <w:noProof/>
        </w:rPr>
      </w:pPr>
      <w:r w:rsidRPr="002C46DB">
        <w:rPr>
          <w:rFonts w:asciiTheme="minorHAnsi" w:hAnsiTheme="minorHAnsi" w:cstheme="minorHAnsi"/>
          <w:i/>
          <w:iCs/>
          <w:noProof/>
        </w:rPr>
        <w:t>London Live Events Network</w:t>
      </w:r>
    </w:p>
    <w:p w:rsidR="00833D67" w:rsidP="00833D67" w:rsidRDefault="00FC1718" w14:paraId="6DD91DFE" w14:textId="77777777">
      <w:pPr>
        <w:pStyle w:val="letter-subject-line"/>
        <w:rPr>
          <w:noProof/>
        </w:rPr>
      </w:pPr>
      <w:r w:rsidRPr="002C46DB">
        <w:rPr>
          <w:noProof/>
        </w:rPr>
        <w:t>SOC reason for rejection:</w:t>
      </w:r>
    </w:p>
    <w:p w:rsidRPr="002C46DB" w:rsidR="00FC1718" w:rsidP="00FC1718" w:rsidRDefault="00FC1718" w14:paraId="3A817B27" w14:textId="265F157A">
      <w:pPr>
        <w:rPr>
          <w:rFonts w:asciiTheme="minorHAnsi" w:hAnsiTheme="minorHAnsi" w:cstheme="minorHAnsi"/>
          <w:noProof/>
        </w:rPr>
      </w:pPr>
      <w:r w:rsidRPr="002C46DB">
        <w:rPr>
          <w:rFonts w:asciiTheme="minorHAnsi" w:hAnsiTheme="minorHAnsi" w:cstheme="minorHAnsi"/>
          <w:noProof/>
        </w:rPr>
        <w:t>Not an E</w:t>
      </w:r>
      <w:r w:rsidR="00301349">
        <w:rPr>
          <w:rFonts w:asciiTheme="minorHAnsi" w:hAnsiTheme="minorHAnsi" w:cstheme="minorHAnsi"/>
          <w:noProof/>
        </w:rPr>
        <w:t xml:space="preserve">mergency </w:t>
      </w:r>
      <w:r w:rsidRPr="002C46DB">
        <w:rPr>
          <w:rFonts w:asciiTheme="minorHAnsi" w:hAnsiTheme="minorHAnsi" w:cstheme="minorHAnsi"/>
          <w:noProof/>
        </w:rPr>
        <w:t>M</w:t>
      </w:r>
      <w:r w:rsidR="00301349">
        <w:rPr>
          <w:rFonts w:asciiTheme="minorHAnsi" w:hAnsiTheme="minorHAnsi" w:cstheme="minorHAnsi"/>
          <w:noProof/>
        </w:rPr>
        <w:t>otion. T</w:t>
      </w:r>
      <w:r w:rsidRPr="002C46DB">
        <w:rPr>
          <w:rFonts w:asciiTheme="minorHAnsi" w:hAnsiTheme="minorHAnsi" w:cstheme="minorHAnsi"/>
          <w:noProof/>
        </w:rPr>
        <w:t>he rise of the far right was present and widely reported before</w:t>
      </w:r>
      <w:r w:rsidR="00934D7A">
        <w:rPr>
          <w:rFonts w:asciiTheme="minorHAnsi" w:hAnsiTheme="minorHAnsi" w:cstheme="minorHAnsi"/>
          <w:noProof/>
        </w:rPr>
        <w:t xml:space="preserve"> the</w:t>
      </w:r>
      <w:r w:rsidRPr="002C46DB">
        <w:rPr>
          <w:rFonts w:asciiTheme="minorHAnsi" w:hAnsiTheme="minorHAnsi" w:cstheme="minorHAnsi"/>
          <w:noProof/>
        </w:rPr>
        <w:t xml:space="preserve"> May </w:t>
      </w:r>
      <w:r w:rsidR="007B5118">
        <w:rPr>
          <w:rFonts w:asciiTheme="minorHAnsi" w:hAnsiTheme="minorHAnsi" w:cstheme="minorHAnsi"/>
          <w:noProof/>
        </w:rPr>
        <w:t xml:space="preserve">2026 </w:t>
      </w:r>
      <w:r w:rsidRPr="002C46DB">
        <w:rPr>
          <w:rFonts w:asciiTheme="minorHAnsi" w:hAnsiTheme="minorHAnsi" w:cstheme="minorHAnsi"/>
          <w:noProof/>
        </w:rPr>
        <w:t xml:space="preserve">elections including </w:t>
      </w:r>
      <w:r w:rsidR="00A86C1B">
        <w:rPr>
          <w:rFonts w:asciiTheme="minorHAnsi" w:hAnsiTheme="minorHAnsi" w:cstheme="minorHAnsi"/>
          <w:noProof/>
        </w:rPr>
        <w:t>h</w:t>
      </w:r>
      <w:r w:rsidR="00C92493">
        <w:rPr>
          <w:rFonts w:asciiTheme="minorHAnsi" w:hAnsiTheme="minorHAnsi" w:cstheme="minorHAnsi"/>
          <w:noProof/>
        </w:rPr>
        <w:t>igh profile news events</w:t>
      </w:r>
      <w:r w:rsidRPr="002C46DB">
        <w:rPr>
          <w:rFonts w:asciiTheme="minorHAnsi" w:hAnsiTheme="minorHAnsi" w:cstheme="minorHAnsi"/>
          <w:noProof/>
        </w:rPr>
        <w:t xml:space="preserve"> </w:t>
      </w:r>
      <w:r w:rsidR="00C92493">
        <w:rPr>
          <w:rFonts w:asciiTheme="minorHAnsi" w:hAnsiTheme="minorHAnsi" w:cstheme="minorHAnsi"/>
          <w:noProof/>
        </w:rPr>
        <w:t>in the past 2 years.</w:t>
      </w:r>
    </w:p>
    <w:p w:rsidRPr="002C46DB" w:rsidR="00FC1718" w:rsidP="00FC1718" w:rsidRDefault="00FC1718" w14:paraId="145E5B17" w14:textId="77777777">
      <w:pPr>
        <w:rPr>
          <w:rFonts w:asciiTheme="minorHAnsi" w:hAnsiTheme="minorHAnsi" w:cstheme="minorHAnsi"/>
          <w:noProof/>
        </w:rPr>
      </w:pPr>
    </w:p>
    <w:p w:rsidRPr="002C46DB" w:rsidR="00FC1718" w:rsidP="00833D67" w:rsidRDefault="00FC1718" w14:paraId="02D9459F" w14:textId="2E94FF0B">
      <w:pPr>
        <w:pStyle w:val="Referencebackheading"/>
      </w:pPr>
      <w:r w:rsidRPr="002C46DB">
        <w:t xml:space="preserve">EM7 </w:t>
      </w:r>
    </w:p>
    <w:p w:rsidRPr="002C46DB" w:rsidR="00FC1718" w:rsidP="00833D67" w:rsidRDefault="00FC1718" w14:paraId="7FE7F09F" w14:textId="5F8D08DD">
      <w:pPr>
        <w:pStyle w:val="Heading3"/>
        <w:rPr>
          <w:bCs/>
          <w:noProof/>
        </w:rPr>
      </w:pPr>
      <w:r w:rsidRPr="002C46DB">
        <w:rPr>
          <w:noProof/>
        </w:rPr>
        <w:t>Solidarity with AI Trainers in the Global South</w:t>
      </w:r>
    </w:p>
    <w:p w:rsidRPr="002C46DB" w:rsidR="00FC1718" w:rsidP="00FC1718" w:rsidRDefault="00FC1718" w14:paraId="0006F030" w14:textId="77777777">
      <w:pPr>
        <w:rPr>
          <w:rFonts w:asciiTheme="minorHAnsi" w:hAnsiTheme="minorHAnsi" w:cstheme="minorHAnsi"/>
        </w:rPr>
      </w:pPr>
      <w:r w:rsidRPr="002C46DB">
        <w:rPr>
          <w:rFonts w:asciiTheme="minorHAnsi" w:hAnsiTheme="minorHAnsi" w:cstheme="minorHAnsi"/>
        </w:rPr>
        <w:t>AI is often spoken about as the 'next step' in technological advancement, with industry leaders and governments speaking about the ways in which AI can remove rote work from our working lives [1, 2, 3]. However, the training of Large Language Models (LLMs) is not an automated process, instead often relying on the exploitation of workers of the marginalised majority or commonly referred to as the “Global South” or developing world. Workers across the Global South work in exploitative conditions, either in 'digital sweatshops' or through a 'gig' economy, to train LLMs [4]. This primarily occurs in one of two ways:</w:t>
      </w:r>
    </w:p>
    <w:p w:rsidRPr="002C46DB" w:rsidR="00FC1718" w:rsidP="00FC1718" w:rsidRDefault="006F4BCA" w14:paraId="25390E9F" w14:textId="702D2353">
      <w:pPr>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Pr="002C46DB" w:rsidR="00FC1718">
        <w:rPr>
          <w:rFonts w:asciiTheme="minorHAnsi" w:hAnsiTheme="minorHAnsi" w:cstheme="minorHAnsi"/>
        </w:rPr>
        <w:t>Workers refine the answers that AI chatbots give out, essentially 'teaching' the chatbots to give appropriate and accurate answers. These workers are never recognised for their knowledge. [5] </w:t>
      </w:r>
    </w:p>
    <w:p w:rsidRPr="002C46DB" w:rsidR="00FC1718" w:rsidP="00FC1718" w:rsidRDefault="00FC1718" w14:paraId="18F2B18C" w14:textId="77777777">
      <w:pPr>
        <w:rPr>
          <w:rFonts w:asciiTheme="minorHAnsi" w:hAnsiTheme="minorHAnsi" w:cstheme="minorHAnsi"/>
        </w:rPr>
      </w:pPr>
      <w:r w:rsidRPr="002C46DB">
        <w:rPr>
          <w:rFonts w:asciiTheme="minorHAnsi" w:hAnsiTheme="minorHAnsi" w:cstheme="minorHAnsi"/>
        </w:rPr>
        <w:t>2.</w:t>
      </w:r>
      <w:r w:rsidRPr="002C46DB">
        <w:rPr>
          <w:rFonts w:asciiTheme="minorHAnsi" w:hAnsiTheme="minorHAnsi" w:cstheme="minorHAnsi"/>
        </w:rPr>
        <w:tab/>
      </w:r>
      <w:r w:rsidRPr="002C46DB">
        <w:rPr>
          <w:rFonts w:asciiTheme="minorHAnsi" w:hAnsiTheme="minorHAnsi" w:cstheme="minorHAnsi"/>
        </w:rPr>
        <w:t>Workers annotate and moderate content being fed to LLMs, telling the AI what it is looking at. These workers often have to deal with horrific, violent, and disturbing imagery and audio with no protections or warning. [6] </w:t>
      </w:r>
    </w:p>
    <w:p w:rsidRPr="002C46DB" w:rsidR="00FC1718" w:rsidP="00FC1718" w:rsidRDefault="00FC1718" w14:paraId="3192096C" w14:textId="77777777">
      <w:pPr>
        <w:rPr>
          <w:rFonts w:asciiTheme="minorHAnsi" w:hAnsiTheme="minorHAnsi" w:cstheme="minorHAnsi"/>
        </w:rPr>
      </w:pPr>
      <w:r w:rsidRPr="002C46DB">
        <w:rPr>
          <w:rFonts w:asciiTheme="minorHAnsi" w:hAnsiTheme="minorHAnsi" w:cstheme="minorHAnsi"/>
        </w:rPr>
        <w:t>AI trainers across the Global South are systematically underpaid, offered little to no job security or workplace protections, and are often expected to work long shifts. They are expected to get through thousands of videos or chatlogs a day with no protection from obscene or disturbing images or data, and can be expected to work entirely based on the demands of an algorithm. [5, 6, 7, 8] In 2024 it was revealed in Kenya over 140 workers at one company contracted by Meta alone were diagnosed with PTSD. [9] </w:t>
      </w:r>
    </w:p>
    <w:p w:rsidRPr="002C46DB" w:rsidR="00FC1718" w:rsidP="00FC1718" w:rsidRDefault="00890F84" w14:paraId="4A804B9A" w14:textId="68ABC4DF">
      <w:pPr>
        <w:rPr>
          <w:rFonts w:asciiTheme="minorHAnsi" w:hAnsiTheme="minorHAnsi" w:cstheme="minorHAnsi"/>
        </w:rPr>
      </w:pPr>
      <w:r>
        <w:rPr>
          <w:rFonts w:asciiTheme="minorHAnsi" w:hAnsiTheme="minorHAnsi" w:cstheme="minorHAnsi"/>
        </w:rPr>
        <w:t>Th</w:t>
      </w:r>
      <w:r w:rsidRPr="002C46DB" w:rsidR="00FC1718">
        <w:rPr>
          <w:rFonts w:asciiTheme="minorHAnsi" w:hAnsiTheme="minorHAnsi" w:cstheme="minorHAnsi"/>
        </w:rPr>
        <w:t>ese exploitative systems rely on workers from the Global South being left without recourse and unable to make demands, in order that people in the Global North may benefit from their labour. This is a system which seeks to strip economic power from citizens in the Global South and abuse workers for the benefit of workers in the Global North. [10, 11] </w:t>
      </w:r>
    </w:p>
    <w:p w:rsidRPr="002C46DB" w:rsidR="00FC1718" w:rsidP="00FC1718" w:rsidRDefault="00FC1718" w14:paraId="36E124D8" w14:textId="46AEC3C9">
      <w:pPr>
        <w:rPr>
          <w:rFonts w:asciiTheme="minorHAnsi" w:hAnsiTheme="minorHAnsi" w:cstheme="minorHAnsi"/>
        </w:rPr>
      </w:pPr>
      <w:r w:rsidRPr="002C46DB">
        <w:rPr>
          <w:rFonts w:asciiTheme="minorHAnsi" w:hAnsiTheme="minorHAnsi" w:cstheme="minorHAnsi"/>
        </w:rPr>
        <w:t>Conference believes that: </w:t>
      </w:r>
    </w:p>
    <w:p w:rsidR="00AE61CC" w:rsidP="00AE61CC" w:rsidRDefault="00FC1718" w14:paraId="00546C64" w14:textId="77777777">
      <w:pPr>
        <w:rPr>
          <w:rFonts w:asciiTheme="minorHAnsi" w:hAnsiTheme="minorHAnsi" w:cstheme="minorHAnsi"/>
        </w:rPr>
      </w:pPr>
      <w:r w:rsidRPr="002C46DB">
        <w:rPr>
          <w:rFonts w:asciiTheme="minorHAnsi" w:hAnsiTheme="minorHAnsi" w:cstheme="minorHAnsi"/>
        </w:rPr>
        <w:t>Workers around the world deserve workplace protections, fair pay, and recognition of their expertise. </w:t>
      </w:r>
    </w:p>
    <w:p w:rsidRPr="002C46DB" w:rsidR="00FC1718" w:rsidP="00AE61CC" w:rsidRDefault="00FC1718" w14:paraId="58804347" w14:textId="41CEE2AA">
      <w:pPr>
        <w:rPr>
          <w:rFonts w:asciiTheme="minorHAnsi" w:hAnsiTheme="minorHAnsi" w:cstheme="minorHAnsi"/>
        </w:rPr>
      </w:pPr>
      <w:r w:rsidRPr="002C46DB">
        <w:rPr>
          <w:rFonts w:asciiTheme="minorHAnsi" w:hAnsiTheme="minorHAnsi" w:cstheme="minorHAnsi"/>
        </w:rPr>
        <w:t>This Conference instructs NEC to: </w:t>
      </w:r>
    </w:p>
    <w:p w:rsidRPr="002C46DB" w:rsidR="00FC1718" w:rsidP="00FC1718" w:rsidRDefault="00B34549" w14:paraId="4BA1EE1B" w14:textId="11256463">
      <w:pPr>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Pr="002C46DB" w:rsidR="00FC1718">
        <w:rPr>
          <w:rFonts w:asciiTheme="minorHAnsi" w:hAnsiTheme="minorHAnsi" w:cstheme="minorHAnsi"/>
        </w:rPr>
        <w:t>Raise awareness of members about the global exploitation of workers for AI; </w:t>
      </w:r>
    </w:p>
    <w:p w:rsidRPr="002C46DB" w:rsidR="00FC1718" w:rsidP="00FC1718" w:rsidRDefault="00FC1718" w14:paraId="1E38708E" w14:textId="77777777">
      <w:pPr>
        <w:rPr>
          <w:rFonts w:asciiTheme="minorHAnsi" w:hAnsiTheme="minorHAnsi" w:cstheme="minorHAnsi"/>
        </w:rPr>
      </w:pPr>
      <w:r w:rsidRPr="002C46DB">
        <w:rPr>
          <w:rFonts w:asciiTheme="minorHAnsi" w:hAnsiTheme="minorHAnsi" w:cstheme="minorHAnsi"/>
        </w:rPr>
        <w:t>2.</w:t>
      </w:r>
      <w:r w:rsidRPr="002C46DB">
        <w:rPr>
          <w:rFonts w:asciiTheme="minorHAnsi" w:hAnsiTheme="minorHAnsi" w:cstheme="minorHAnsi"/>
        </w:rPr>
        <w:tab/>
      </w:r>
      <w:r w:rsidRPr="002C46DB">
        <w:rPr>
          <w:rFonts w:asciiTheme="minorHAnsi" w:hAnsiTheme="minorHAnsi" w:cstheme="minorHAnsi"/>
        </w:rPr>
        <w:t>Work with the TUC to champion solidarity with exploited tech workers in the Global South and develop resources to bring awareness to the abusive nature of tech work in the Global South, including working with the Global Trade Union Alliance of Content Moderators [12]; </w:t>
      </w:r>
    </w:p>
    <w:p w:rsidRPr="002C46DB" w:rsidR="00FC1718" w:rsidP="00FC1718" w:rsidRDefault="00FC1718" w14:paraId="7642BCE4" w14:textId="77777777">
      <w:pPr>
        <w:rPr>
          <w:rFonts w:asciiTheme="minorHAnsi" w:hAnsiTheme="minorHAnsi" w:cstheme="minorHAnsi"/>
        </w:rPr>
      </w:pPr>
      <w:r w:rsidRPr="002C46DB">
        <w:rPr>
          <w:rFonts w:asciiTheme="minorHAnsi" w:hAnsiTheme="minorHAnsi" w:cstheme="minorHAnsi"/>
        </w:rPr>
        <w:t>3.</w:t>
      </w:r>
      <w:r w:rsidRPr="002C46DB">
        <w:rPr>
          <w:rFonts w:asciiTheme="minorHAnsi" w:hAnsiTheme="minorHAnsi" w:cstheme="minorHAnsi"/>
        </w:rPr>
        <w:tab/>
      </w:r>
      <w:r w:rsidRPr="002C46DB">
        <w:rPr>
          <w:rFonts w:asciiTheme="minorHAnsi" w:hAnsiTheme="minorHAnsi" w:cstheme="minorHAnsi"/>
        </w:rPr>
        <w:t>Consult experts in decolonisation of technology and empowerment in tech spaces when lobbying, campaigning, or developing policy on AI in the workplace and the Union; and</w:t>
      </w:r>
    </w:p>
    <w:p w:rsidRPr="002C46DB" w:rsidR="00FC1718" w:rsidP="00FC1718" w:rsidRDefault="00FC1718" w14:paraId="795577B4" w14:textId="77777777">
      <w:pPr>
        <w:rPr>
          <w:rFonts w:asciiTheme="minorHAnsi" w:hAnsiTheme="minorHAnsi" w:cstheme="minorHAnsi"/>
        </w:rPr>
      </w:pPr>
      <w:r w:rsidRPr="002C46DB">
        <w:rPr>
          <w:rFonts w:asciiTheme="minorHAnsi" w:hAnsiTheme="minorHAnsi" w:cstheme="minorHAnsi"/>
        </w:rPr>
        <w:t>4.</w:t>
      </w:r>
      <w:r w:rsidRPr="002C46DB">
        <w:rPr>
          <w:rFonts w:asciiTheme="minorHAnsi" w:hAnsiTheme="minorHAnsi" w:cstheme="minorHAnsi"/>
        </w:rPr>
        <w:tab/>
      </w:r>
      <w:r w:rsidRPr="002C46DB">
        <w:rPr>
          <w:rFonts w:asciiTheme="minorHAnsi" w:hAnsiTheme="minorHAnsi" w:cstheme="minorHAnsi"/>
        </w:rPr>
        <w:t>Write to government to encourage disassociating from tech companies that engage in exploitative and abusive labour practices in the Global South, including Meta, OpenAI, Palantir, and Google. </w:t>
      </w:r>
    </w:p>
    <w:p w:rsidRPr="002C46DB" w:rsidR="00FC1718" w:rsidP="00FC1718" w:rsidRDefault="005E4072" w14:paraId="5EDE1E6A" w14:textId="67F52C93">
      <w:pPr>
        <w:rPr>
          <w:rFonts w:asciiTheme="minorHAnsi" w:hAnsiTheme="minorHAnsi" w:cstheme="minorHAnsi"/>
          <w:i/>
          <w:iCs/>
        </w:rPr>
      </w:pPr>
      <w:r>
        <w:rPr>
          <w:rFonts w:asciiTheme="minorHAnsi" w:hAnsiTheme="minorHAnsi" w:cstheme="minorHAnsi"/>
          <w:i/>
          <w:iCs/>
        </w:rPr>
        <w:t>Joint Nature Conservation Committee</w:t>
      </w:r>
      <w:r w:rsidRPr="002C46DB" w:rsidR="00FC1718">
        <w:rPr>
          <w:rFonts w:asciiTheme="minorHAnsi" w:hAnsiTheme="minorHAnsi" w:cstheme="minorHAnsi"/>
          <w:i/>
          <w:iCs/>
        </w:rPr>
        <w:t> </w:t>
      </w:r>
    </w:p>
    <w:p w:rsidR="00AE61CC" w:rsidP="00AE61CC" w:rsidRDefault="00FC1718" w14:paraId="3A04750E" w14:textId="77777777">
      <w:pPr>
        <w:pStyle w:val="letter-subject-line"/>
        <w:rPr>
          <w:noProof/>
        </w:rPr>
      </w:pPr>
      <w:r w:rsidRPr="002C46DB">
        <w:rPr>
          <w:noProof/>
        </w:rPr>
        <w:t>SOC reason for rejection:</w:t>
      </w:r>
    </w:p>
    <w:p w:rsidRPr="002C46DB" w:rsidR="00FC1718" w:rsidP="00FC1718" w:rsidRDefault="00FC1718" w14:paraId="0A41A340" w14:textId="2C865F58">
      <w:pPr>
        <w:rPr>
          <w:rFonts w:asciiTheme="minorHAnsi" w:hAnsiTheme="minorHAnsi" w:cstheme="minorHAnsi"/>
          <w:i/>
          <w:iCs/>
        </w:rPr>
      </w:pPr>
      <w:r w:rsidRPr="002C46DB">
        <w:rPr>
          <w:rFonts w:asciiTheme="minorHAnsi" w:hAnsiTheme="minorHAnsi" w:cstheme="minorHAnsi"/>
          <w:noProof/>
        </w:rPr>
        <w:t xml:space="preserve">Not an </w:t>
      </w:r>
      <w:r w:rsidR="00C74035">
        <w:rPr>
          <w:rFonts w:asciiTheme="minorHAnsi" w:hAnsiTheme="minorHAnsi" w:cstheme="minorHAnsi"/>
          <w:noProof/>
        </w:rPr>
        <w:t>E</w:t>
      </w:r>
      <w:r w:rsidRPr="002C46DB">
        <w:rPr>
          <w:rFonts w:asciiTheme="minorHAnsi" w:hAnsiTheme="minorHAnsi" w:cstheme="minorHAnsi"/>
          <w:noProof/>
        </w:rPr>
        <w:t xml:space="preserve">mergency </w:t>
      </w:r>
      <w:r w:rsidR="00C74035">
        <w:rPr>
          <w:rFonts w:asciiTheme="minorHAnsi" w:hAnsiTheme="minorHAnsi" w:cstheme="minorHAnsi"/>
          <w:noProof/>
        </w:rPr>
        <w:t>M</w:t>
      </w:r>
      <w:r w:rsidRPr="002C46DB">
        <w:rPr>
          <w:rFonts w:asciiTheme="minorHAnsi" w:hAnsiTheme="minorHAnsi" w:cstheme="minorHAnsi"/>
          <w:noProof/>
        </w:rPr>
        <w:t>otion</w:t>
      </w:r>
      <w:r w:rsidR="00C74035">
        <w:rPr>
          <w:rFonts w:asciiTheme="minorHAnsi" w:hAnsiTheme="minorHAnsi" w:cstheme="minorHAnsi"/>
          <w:noProof/>
        </w:rPr>
        <w:t>. Events occurred before the closing date for stand</w:t>
      </w:r>
      <w:r w:rsidR="0047125A">
        <w:rPr>
          <w:rFonts w:asciiTheme="minorHAnsi" w:hAnsiTheme="minorHAnsi" w:cstheme="minorHAnsi"/>
          <w:noProof/>
        </w:rPr>
        <w:t>ard</w:t>
      </w:r>
      <w:r w:rsidR="00C74035">
        <w:rPr>
          <w:rFonts w:asciiTheme="minorHAnsi" w:hAnsiTheme="minorHAnsi" w:cstheme="minorHAnsi"/>
          <w:noProof/>
        </w:rPr>
        <w:t xml:space="preserve"> motions</w:t>
      </w:r>
      <w:r w:rsidR="001F7B13">
        <w:rPr>
          <w:rFonts w:asciiTheme="minorHAnsi" w:hAnsiTheme="minorHAnsi" w:cstheme="minorHAnsi"/>
          <w:noProof/>
        </w:rPr>
        <w:t xml:space="preserve"> therefore it </w:t>
      </w:r>
      <w:r w:rsidR="000868C3">
        <w:rPr>
          <w:rFonts w:asciiTheme="minorHAnsi" w:hAnsiTheme="minorHAnsi" w:cstheme="minorHAnsi"/>
          <w:noProof/>
        </w:rPr>
        <w:t>does not qualify as an emergency.</w:t>
      </w:r>
    </w:p>
    <w:p w:rsidRPr="002C46DB" w:rsidR="00FC1718" w:rsidP="006A5D1E" w:rsidRDefault="00FC1718" w14:paraId="13208074" w14:textId="7932D7FD">
      <w:pPr>
        <w:pStyle w:val="Referencebackheading"/>
      </w:pPr>
      <w:r w:rsidRPr="002C46DB">
        <w:t>EM9</w:t>
      </w:r>
    </w:p>
    <w:p w:rsidRPr="002C46DB" w:rsidR="00FC1718" w:rsidP="006A5D1E" w:rsidRDefault="00FC1718" w14:paraId="7339B1C5" w14:textId="221931F4">
      <w:pPr>
        <w:pStyle w:val="Heading3"/>
        <w:rPr>
          <w:bCs/>
          <w:noProof/>
        </w:rPr>
      </w:pPr>
      <w:r w:rsidRPr="002C46DB">
        <w:rPr>
          <w:noProof/>
        </w:rPr>
        <w:t>June 2025 data breach </w:t>
      </w:r>
    </w:p>
    <w:p w:rsidRPr="002C46DB" w:rsidR="00FC1718" w:rsidP="00FC1718" w:rsidRDefault="00FC1718" w14:paraId="0765C0CA" w14:textId="77777777">
      <w:pPr>
        <w:rPr>
          <w:rFonts w:asciiTheme="minorHAnsi" w:hAnsiTheme="minorHAnsi" w:cstheme="minorHAnsi"/>
        </w:rPr>
      </w:pPr>
      <w:r w:rsidRPr="002C46DB">
        <w:rPr>
          <w:rFonts w:asciiTheme="minorHAnsi" w:hAnsiTheme="minorHAnsi" w:cstheme="minorHAnsi"/>
        </w:rPr>
        <w:t>Conference notes the section “Cyber incident and risk management” on pages 84 and 85 of the 2025 Annual Report (published on 8/5/26). </w:t>
      </w:r>
    </w:p>
    <w:p w:rsidRPr="002C46DB" w:rsidR="00FC1718" w:rsidP="00FC1718" w:rsidRDefault="00FC1718" w14:paraId="65A1C059" w14:textId="77777777">
      <w:pPr>
        <w:rPr>
          <w:rFonts w:asciiTheme="minorHAnsi" w:hAnsiTheme="minorHAnsi" w:cstheme="minorHAnsi"/>
        </w:rPr>
      </w:pPr>
      <w:r w:rsidRPr="002C46DB">
        <w:rPr>
          <w:rFonts w:asciiTheme="minorHAnsi" w:hAnsiTheme="minorHAnsi" w:cstheme="minorHAnsi"/>
        </w:rPr>
        <w:t>Conference further notes that this section contains new information not published to branches in advance of the 6/3/26 submission deadline for main business. Specifically:  </w:t>
      </w:r>
    </w:p>
    <w:p w:rsidRPr="002C46DB" w:rsidR="00FC1718" w:rsidP="00FC1718" w:rsidRDefault="00FC1718" w14:paraId="095D14AA" w14:textId="77777777">
      <w:pPr>
        <w:rPr>
          <w:rFonts w:asciiTheme="minorHAnsi" w:hAnsiTheme="minorHAnsi" w:cstheme="minorHAnsi"/>
        </w:rPr>
      </w:pPr>
      <w:r w:rsidRPr="002C46DB">
        <w:rPr>
          <w:rFonts w:asciiTheme="minorHAnsi" w:hAnsiTheme="minorHAnsi" w:cstheme="minorHAnsi"/>
        </w:rPr>
        <w:t>1.</w:t>
      </w:r>
      <w:r w:rsidRPr="002C46DB">
        <w:rPr>
          <w:rFonts w:asciiTheme="minorHAnsi" w:hAnsiTheme="minorHAnsi" w:cstheme="minorHAnsi"/>
        </w:rPr>
        <w:tab/>
      </w:r>
      <w:r w:rsidRPr="002C46DB">
        <w:rPr>
          <w:rFonts w:asciiTheme="minorHAnsi" w:hAnsiTheme="minorHAnsi" w:cstheme="minorHAnsi"/>
        </w:rPr>
        <w:t>“It was clear that none of the new third-party software platforms such as the CRM had been impacted and Microsoft systems were also unaffected.” </w:t>
      </w:r>
    </w:p>
    <w:p w:rsidRPr="002C46DB" w:rsidR="00FC1718" w:rsidP="00FC1718" w:rsidRDefault="00FC1718" w14:paraId="52EE7AAC" w14:textId="77777777">
      <w:pPr>
        <w:rPr>
          <w:rFonts w:asciiTheme="minorHAnsi" w:hAnsiTheme="minorHAnsi" w:cstheme="minorHAnsi"/>
        </w:rPr>
      </w:pPr>
      <w:r w:rsidRPr="002C46DB">
        <w:rPr>
          <w:rFonts w:asciiTheme="minorHAnsi" w:hAnsiTheme="minorHAnsi" w:cstheme="minorHAnsi"/>
        </w:rPr>
        <w:t>2.</w:t>
      </w:r>
      <w:r w:rsidRPr="002C46DB">
        <w:rPr>
          <w:rFonts w:asciiTheme="minorHAnsi" w:hAnsiTheme="minorHAnsi" w:cstheme="minorHAnsi"/>
        </w:rPr>
        <w:tab/>
      </w:r>
      <w:r w:rsidRPr="002C46DB">
        <w:rPr>
          <w:rFonts w:asciiTheme="minorHAnsi" w:hAnsiTheme="minorHAnsi" w:cstheme="minorHAnsi"/>
        </w:rPr>
        <w:t>“Once the incident was contained, we spent six weeks investigating the impact to our systems … During these six weeks we also rebuilt and restored our systems and completed a range of enhancements as recommended by our cyber experts. We then commenced a data impact assessment of the incident and found that unfortunately there was a regrettable impact to staff and certain members.” </w:t>
      </w:r>
    </w:p>
    <w:p w:rsidRPr="002C46DB" w:rsidR="00FC1718" w:rsidP="00FC1718" w:rsidRDefault="00FC1718" w14:paraId="21E50C2D" w14:textId="77777777">
      <w:pPr>
        <w:rPr>
          <w:rFonts w:asciiTheme="minorHAnsi" w:hAnsiTheme="minorHAnsi" w:cstheme="minorHAnsi"/>
        </w:rPr>
      </w:pPr>
      <w:r w:rsidRPr="002C46DB">
        <w:rPr>
          <w:rFonts w:asciiTheme="minorHAnsi" w:hAnsiTheme="minorHAnsi" w:cstheme="minorHAnsi"/>
        </w:rPr>
        <w:t xml:space="preserve">On point 1, Conference is concerned at the implication that the sensitive data which was breached was held outside the union’s main, strategic, systems. In the light of this, Conference </w:t>
      </w:r>
      <w:r w:rsidRPr="002C46DB">
        <w:rPr>
          <w:rFonts w:asciiTheme="minorHAnsi" w:hAnsiTheme="minorHAnsi" w:cstheme="minorHAnsi"/>
        </w:rPr>
        <w:t>instructs the NEC to supply to branches by the end of July 2026 a report containing a clear statement of how this came to be the case. This should include information on where this data was held, why it was held there, what specific data was affected, and how many members’ data was breached having been stored in this way. </w:t>
      </w:r>
    </w:p>
    <w:p w:rsidR="00FC1718" w:rsidP="00FC1718" w:rsidRDefault="00FC1718" w14:paraId="6B10DF34" w14:textId="77777777">
      <w:pPr>
        <w:rPr>
          <w:rFonts w:asciiTheme="minorHAnsi" w:hAnsiTheme="minorHAnsi" w:cstheme="minorHAnsi"/>
        </w:rPr>
      </w:pPr>
      <w:r w:rsidRPr="002C46DB">
        <w:rPr>
          <w:rFonts w:asciiTheme="minorHAnsi" w:hAnsiTheme="minorHAnsi" w:cstheme="minorHAnsi"/>
        </w:rPr>
        <w:t>On point 2, Conference is concerned that the assessment of impact on staff and members only commenced after six weeks rather than immediately, losing valuable time and partly explaining why members were not notified until October of an incident which occurred in June. Conference instructs the NEC to include in the above report a clear statement explaining why the assessment of impact on individuals did not commence immediately. The NEC is additionally instructed to include in the report an explanation of how, as implied by the above text and despite the use of “cyber experts”, it did not become at all apparent during the initial “six weeks investigating the impact to our systems” that any individuals’ data had been compromised. Or alternatively, if the breach of personal data had actually become apparent in this initial six week period, to explain why no immediate action was taken to follow up on this to identify and notify those affected.</w:t>
      </w:r>
    </w:p>
    <w:p w:rsidRPr="00A62700" w:rsidR="00A62700" w:rsidP="00FC1718" w:rsidRDefault="00A62700" w14:paraId="6288364D" w14:textId="22A6D531">
      <w:pPr>
        <w:rPr>
          <w:rFonts w:asciiTheme="minorHAnsi" w:hAnsiTheme="minorHAnsi" w:cstheme="minorHAnsi"/>
          <w:i/>
          <w:iCs/>
        </w:rPr>
      </w:pPr>
      <w:r>
        <w:rPr>
          <w:rFonts w:asciiTheme="minorHAnsi" w:hAnsiTheme="minorHAnsi" w:cstheme="minorHAnsi"/>
          <w:i/>
          <w:iCs/>
        </w:rPr>
        <w:t>Telecoms Branch</w:t>
      </w:r>
    </w:p>
    <w:p w:rsidR="006A5D1E" w:rsidP="00A62700" w:rsidRDefault="00FC1718" w14:paraId="57B979F4" w14:textId="77777777">
      <w:pPr>
        <w:rPr>
          <w:rFonts w:asciiTheme="minorHAnsi" w:hAnsiTheme="minorHAnsi" w:cstheme="minorHAnsi"/>
          <w:b/>
          <w:bCs/>
          <w:noProof/>
        </w:rPr>
      </w:pPr>
      <w:r w:rsidRPr="002C46DB">
        <w:rPr>
          <w:rFonts w:asciiTheme="minorHAnsi" w:hAnsiTheme="minorHAnsi" w:cstheme="minorHAnsi"/>
          <w:b/>
          <w:bCs/>
          <w:noProof/>
        </w:rPr>
        <w:t xml:space="preserve">SOC reason for rejection: </w:t>
      </w:r>
    </w:p>
    <w:p w:rsidR="00FC1718" w:rsidP="00A62700" w:rsidRDefault="00FC1718" w14:paraId="6D37E553" w14:textId="6A8A53B0">
      <w:pPr>
        <w:rPr>
          <w:rFonts w:asciiTheme="minorHAnsi" w:hAnsiTheme="minorHAnsi" w:cstheme="minorHAnsi"/>
          <w:noProof/>
        </w:rPr>
      </w:pPr>
      <w:r w:rsidRPr="002C46DB">
        <w:rPr>
          <w:rFonts w:asciiTheme="minorHAnsi" w:hAnsiTheme="minorHAnsi" w:cstheme="minorHAnsi"/>
          <w:noProof/>
        </w:rPr>
        <w:t>Not an emergency – information referenced in motion was circulated to branches and members via a circular</w:t>
      </w:r>
      <w:r w:rsidR="000A1ADD">
        <w:rPr>
          <w:rFonts w:asciiTheme="minorHAnsi" w:hAnsiTheme="minorHAnsi" w:cstheme="minorHAnsi"/>
          <w:noProof/>
        </w:rPr>
        <w:t>,</w:t>
      </w:r>
      <w:r w:rsidRPr="002C46DB">
        <w:rPr>
          <w:rFonts w:asciiTheme="minorHAnsi" w:hAnsiTheme="minorHAnsi" w:cstheme="minorHAnsi"/>
          <w:noProof/>
        </w:rPr>
        <w:t xml:space="preserve"> webinar and webinar recording in October 2025.</w:t>
      </w:r>
    </w:p>
    <w:p w:rsidRPr="00A62700" w:rsidR="00A62700" w:rsidP="00A62700" w:rsidRDefault="00A62700" w14:paraId="2D35A69C" w14:textId="77777777">
      <w:pPr>
        <w:rPr>
          <w:rFonts w:asciiTheme="minorHAnsi" w:hAnsiTheme="minorHAnsi" w:cstheme="minorHAnsi"/>
          <w:noProof/>
        </w:rPr>
      </w:pPr>
    </w:p>
    <w:p w:rsidRPr="002C46DB" w:rsidR="00FC1718" w:rsidP="006A5D1E" w:rsidRDefault="00FC1718" w14:paraId="14658782" w14:textId="77777777">
      <w:pPr>
        <w:pStyle w:val="Referencebackheading"/>
      </w:pPr>
      <w:r w:rsidRPr="002C46DB">
        <w:t>EM11</w:t>
      </w:r>
    </w:p>
    <w:p w:rsidRPr="002C46DB" w:rsidR="00FC1718" w:rsidP="006A5D1E" w:rsidRDefault="00FC1718" w14:paraId="707B6420" w14:textId="402AD5C8">
      <w:pPr>
        <w:pStyle w:val="Heading3"/>
        <w:rPr>
          <w:bCs/>
          <w:noProof/>
        </w:rPr>
      </w:pPr>
      <w:r w:rsidRPr="002C46DB">
        <w:rPr>
          <w:noProof/>
        </w:rPr>
        <w:t>Fair Representation and the Legitimacy of the 2026 NEC Election</w:t>
      </w:r>
    </w:p>
    <w:p w:rsidRPr="002C46DB" w:rsidR="00FC1718" w:rsidP="00FC1718" w:rsidRDefault="00FC1718" w14:paraId="48BD1796" w14:textId="77777777">
      <w:pPr>
        <w:rPr>
          <w:rFonts w:asciiTheme="minorHAnsi" w:hAnsiTheme="minorHAnsi" w:cstheme="minorHAnsi"/>
        </w:rPr>
      </w:pPr>
      <w:r w:rsidRPr="002C46DB">
        <w:rPr>
          <w:rFonts w:asciiTheme="minorHAnsi" w:hAnsiTheme="minorHAnsi" w:cstheme="minorHAnsi"/>
        </w:rPr>
        <w:t>Conference acknowledges that the results of the recent NEC election are not in the spirit of the trade union movement, which seeks to be fair and representative of all its members — regardless of their resources, their employment status, or their means of organisation. </w:t>
      </w:r>
    </w:p>
    <w:p w:rsidRPr="002C46DB" w:rsidR="00FC1718" w:rsidP="00FC1718" w:rsidRDefault="00FC1718" w14:paraId="193EA7FE" w14:textId="77777777">
      <w:pPr>
        <w:rPr>
          <w:rFonts w:asciiTheme="minorHAnsi" w:hAnsiTheme="minorHAnsi" w:cstheme="minorHAnsi"/>
        </w:rPr>
      </w:pPr>
      <w:r w:rsidRPr="002C46DB">
        <w:rPr>
          <w:rFonts w:asciiTheme="minorHAnsi" w:hAnsiTheme="minorHAnsi" w:cstheme="minorHAnsi"/>
        </w:rPr>
        <w:t>Conference notes that the Bectu sector, which represents almost 26% of Prospect’s membership, received only 14% of NEC seats in the 2026 election. This outcome is clearly skewed and unrepresentative. </w:t>
      </w:r>
    </w:p>
    <w:p w:rsidRPr="002C46DB" w:rsidR="00FC1718" w:rsidP="00FC1718" w:rsidRDefault="00FC1718" w14:paraId="13BF6E3A" w14:textId="77777777">
      <w:pPr>
        <w:rPr>
          <w:rFonts w:asciiTheme="minorHAnsi" w:hAnsiTheme="minorHAnsi" w:cstheme="minorHAnsi"/>
        </w:rPr>
      </w:pPr>
      <w:r w:rsidRPr="002C46DB">
        <w:rPr>
          <w:rFonts w:asciiTheme="minorHAnsi" w:hAnsiTheme="minorHAnsi" w:cstheme="minorHAnsi"/>
        </w:rPr>
        <w:t>Conference recognises that, while not strictly against the rules of the election, the spirit of the contest was fundamentally compromised. Organised, well-resourced branches of full-time workers based in single workplaces hold inherent structural advantages over a sector made up largely of freelance workers — moving between places of work, without the same means of coordination, and without the support of their employers in facilitating union activity. </w:t>
      </w:r>
    </w:p>
    <w:p w:rsidRPr="002C46DB" w:rsidR="00FC1718" w:rsidP="00FC1718" w:rsidRDefault="00FC1718" w14:paraId="31F46E54" w14:textId="77777777">
      <w:pPr>
        <w:rPr>
          <w:rFonts w:asciiTheme="minorHAnsi" w:hAnsiTheme="minorHAnsi" w:cstheme="minorHAnsi"/>
        </w:rPr>
      </w:pPr>
      <w:r w:rsidRPr="002C46DB">
        <w:rPr>
          <w:rFonts w:asciiTheme="minorHAnsi" w:hAnsiTheme="minorHAnsi" w:cstheme="minorHAnsi"/>
        </w:rPr>
        <w:t>This cannot be considered a fair process. These results cannot be considered fair. </w:t>
      </w:r>
    </w:p>
    <w:p w:rsidRPr="002C46DB" w:rsidR="00FC1718" w:rsidP="00FC1718" w:rsidRDefault="00FC1718" w14:paraId="09395C65" w14:textId="77777777">
      <w:pPr>
        <w:rPr>
          <w:rFonts w:asciiTheme="minorHAnsi" w:hAnsiTheme="minorHAnsi" w:cstheme="minorHAnsi"/>
        </w:rPr>
      </w:pPr>
      <w:r w:rsidRPr="002C46DB">
        <w:rPr>
          <w:rFonts w:asciiTheme="minorHAnsi" w:hAnsiTheme="minorHAnsi" w:cstheme="minorHAnsi"/>
        </w:rPr>
        <w:t>Conference further notes: </w:t>
      </w:r>
    </w:p>
    <w:p w:rsidRPr="002C46DB" w:rsidR="00FC1718" w:rsidP="006A5D1E" w:rsidRDefault="00FC1718" w14:paraId="789A33ED" w14:textId="71BC950F">
      <w:pPr>
        <w:pStyle w:val="ListBullet"/>
      </w:pPr>
      <w:r w:rsidRPr="002C46DB">
        <w:t>The National Appeals Committee has formally confirmed a breach of Paragraph 12 of the Election Code by the Sellafield branch </w:t>
      </w:r>
    </w:p>
    <w:p w:rsidRPr="002C46DB" w:rsidR="00FC1718" w:rsidP="006A5D1E" w:rsidRDefault="00FC1718" w14:paraId="4EC715DD" w14:textId="7591E4E4">
      <w:pPr>
        <w:pStyle w:val="ListBullet"/>
      </w:pPr>
      <w:r w:rsidRPr="002C46DB">
        <w:t>Published branch-level turnout data shows kingmaker industrial branches turning out at 10.02% on average, compared with 4.15% for key Bectu production and freelance branches The margin between the last elected candidate and the first runner-up was just 12 votes </w:t>
      </w:r>
    </w:p>
    <w:p w:rsidRPr="002C46DB" w:rsidR="00FC1718" w:rsidP="006A5D1E" w:rsidRDefault="00FC1718" w14:paraId="469EA869" w14:textId="7906EAF2">
      <w:pPr>
        <w:pStyle w:val="ListBullet"/>
      </w:pPr>
      <w:r w:rsidRPr="002C46DB">
        <w:t>Bectu Sector’s motion for guaranteed sectoral representation (Motion 105) was ruled out of order before conference could debate it </w:t>
      </w:r>
    </w:p>
    <w:p w:rsidRPr="002C46DB" w:rsidR="00FC1718" w:rsidP="00FC1718" w:rsidRDefault="00FC1718" w14:paraId="4FAF97EA" w14:textId="77777777">
      <w:pPr>
        <w:rPr>
          <w:rFonts w:asciiTheme="minorHAnsi" w:hAnsiTheme="minorHAnsi" w:cstheme="minorHAnsi"/>
        </w:rPr>
      </w:pPr>
      <w:r w:rsidRPr="002C46DB">
        <w:rPr>
          <w:rFonts w:asciiTheme="minorHAnsi" w:hAnsiTheme="minorHAnsi" w:cstheme="minorHAnsi"/>
        </w:rPr>
        <w:t>Conference asks the question that members of the Bectu sector are entitled to ask: What is the motivation for Bectu members to continue their subscriptions to a union where they do not have fair representation at the highest level? </w:t>
      </w:r>
    </w:p>
    <w:p w:rsidRPr="002C46DB" w:rsidR="00FC1718" w:rsidP="00FC1718" w:rsidRDefault="00FC1718" w14:paraId="1E63C8B2" w14:textId="77777777">
      <w:pPr>
        <w:rPr>
          <w:rFonts w:asciiTheme="minorHAnsi" w:hAnsiTheme="minorHAnsi" w:cstheme="minorHAnsi"/>
        </w:rPr>
      </w:pPr>
      <w:r w:rsidRPr="002C46DB">
        <w:rPr>
          <w:rFonts w:asciiTheme="minorHAnsi" w:hAnsiTheme="minorHAnsi" w:cstheme="minorHAnsi"/>
        </w:rPr>
        <w:t>Conference instructs the National Executive Committee to: </w:t>
      </w:r>
    </w:p>
    <w:p w:rsidRPr="002C46DB" w:rsidR="00FC1718" w:rsidP="006A5D1E" w:rsidRDefault="006A5D1E" w14:paraId="75172296" w14:textId="59CFDA80">
      <w:pPr>
        <w:pStyle w:val="Normalnumberedparas1"/>
      </w:pPr>
      <w:r>
        <w:t>C</w:t>
      </w:r>
      <w:r w:rsidRPr="002C46DB" w:rsidR="00FC1718">
        <w:t>ommission an independent review of the 2026 NEC election, including the branch-level turnout data, patterns of nomination coordination, and the NAC judgement on the Rule 12 breach, with findings published to all members within 12 months </w:t>
      </w:r>
    </w:p>
    <w:p w:rsidRPr="002C46DB" w:rsidR="00FC1718" w:rsidP="006A5D1E" w:rsidRDefault="00FC1718" w14:paraId="1396D11A" w14:textId="2124150A">
      <w:pPr>
        <w:pStyle w:val="Normalnumberedparas1"/>
      </w:pPr>
      <w:r w:rsidRPr="002C46DB">
        <w:t>Develop and pilot hybrid voting (postal + online option) for the 2028 NEC election, treating NEC elections as non-statutory internal elections pending legal advice </w:t>
      </w:r>
    </w:p>
    <w:p w:rsidRPr="002C46DB" w:rsidR="00FC1718" w:rsidP="006A5D1E" w:rsidRDefault="00FC1718" w14:paraId="1BE0889F" w14:textId="4256B021">
      <w:pPr>
        <w:pStyle w:val="Normalnumberedparas1"/>
      </w:pPr>
      <w:r w:rsidRPr="002C46DB">
        <w:t>Propose rule changes for the next conference establishing reserved NEC seats proportional to sectoral membership share</w:t>
      </w:r>
    </w:p>
    <w:p w:rsidRPr="002C46DB" w:rsidR="00FC1718" w:rsidP="006A5D1E" w:rsidRDefault="00FC1718" w14:paraId="0FE5FBC1" w14:textId="14D09286">
      <w:pPr>
        <w:pStyle w:val="Normalnumberedparas1"/>
      </w:pPr>
      <w:r w:rsidRPr="002C46DB">
        <w:t>Reform Paragraph 12 enforcement with proportionate sanctions for confirmed breaches</w:t>
      </w:r>
    </w:p>
    <w:p w:rsidRPr="002C46DB" w:rsidR="00FC1718" w:rsidP="006A5D1E" w:rsidRDefault="00FC1718" w14:paraId="04F7D33D" w14:textId="298A4E0C">
      <w:pPr>
        <w:pStyle w:val="Normalnumberedparas1"/>
      </w:pPr>
      <w:r w:rsidRPr="002C46DB">
        <w:t>Mandate publication of all branch communications to members about NEC candidates during election periods</w:t>
      </w:r>
    </w:p>
    <w:p w:rsidRPr="002C46DB" w:rsidR="00FC1718" w:rsidP="006A5D1E" w:rsidRDefault="00FC1718" w14:paraId="326F8083" w14:textId="2CE1119C">
      <w:pPr>
        <w:pStyle w:val="Normalnumberedparas1"/>
      </w:pPr>
      <w:r w:rsidRPr="002C46DB">
        <w:t>Lower nomination thresholds for dispersed and freelance branches, reflecting the structural reality that dispersed sectors cannot coordinate on the same basis as workplace branches</w:t>
      </w:r>
    </w:p>
    <w:p w:rsidRPr="002C46DB" w:rsidR="00FC1718" w:rsidP="006A5D1E" w:rsidRDefault="00FC1718" w14:paraId="7AA1E1A6" w14:textId="2AB1B97A">
      <w:pPr>
        <w:pStyle w:val="Normalnumberedparas1"/>
      </w:pPr>
      <w:r w:rsidRPr="002C46DB">
        <w:t>Publish branch-level turnout data as standard practice within 14 days of every NEC election result declaration</w:t>
      </w:r>
    </w:p>
    <w:p w:rsidRPr="002C46DB" w:rsidR="00FC1718" w:rsidP="00FC1718" w:rsidRDefault="00FC1718" w14:paraId="2F5AA91F" w14:textId="77777777">
      <w:pPr>
        <w:rPr>
          <w:rFonts w:asciiTheme="minorHAnsi" w:hAnsiTheme="minorHAnsi" w:cstheme="minorHAnsi"/>
        </w:rPr>
      </w:pPr>
      <w:r w:rsidRPr="002C46DB">
        <w:rPr>
          <w:rFonts w:asciiTheme="minorHAnsi" w:hAnsiTheme="minorHAnsi" w:cstheme="minorHAnsi"/>
        </w:rPr>
        <w:t>A trade union derives its authority from the consent of its members. That consent requires a fair and credible electoral system. The 2026 election has not provided one.</w:t>
      </w:r>
    </w:p>
    <w:p w:rsidR="00FC1718" w:rsidP="00FC1718" w:rsidRDefault="00FC1718" w14:paraId="4416E201" w14:textId="77777777">
      <w:pPr>
        <w:rPr>
          <w:rFonts w:asciiTheme="minorHAnsi" w:hAnsiTheme="minorHAnsi" w:cstheme="minorHAnsi"/>
        </w:rPr>
      </w:pPr>
      <w:r w:rsidRPr="002C46DB">
        <w:rPr>
          <w:rFonts w:asciiTheme="minorHAnsi" w:hAnsiTheme="minorHAnsi" w:cstheme="minorHAnsi"/>
        </w:rPr>
        <w:t>If Prospect cannot demonstrate fair representation for 26% of its membership, it has lost the moral basis on which it asks Bectu members to remain.*</w:t>
      </w:r>
    </w:p>
    <w:p w:rsidRPr="00854A10" w:rsidR="00FE3AB2" w:rsidP="00FC1718" w:rsidRDefault="00854A10" w14:paraId="4D3AFFE3" w14:textId="24835EDD">
      <w:pPr>
        <w:rPr>
          <w:rFonts w:asciiTheme="minorHAnsi" w:hAnsiTheme="minorHAnsi" w:cstheme="minorHAnsi"/>
          <w:i/>
          <w:iCs/>
        </w:rPr>
      </w:pPr>
      <w:r>
        <w:rPr>
          <w:rFonts w:asciiTheme="minorHAnsi" w:hAnsiTheme="minorHAnsi" w:cstheme="minorHAnsi"/>
          <w:i/>
          <w:iCs/>
        </w:rPr>
        <w:t>North West Freelance</w:t>
      </w:r>
    </w:p>
    <w:p w:rsidR="002874AF" w:rsidP="006A5D1E" w:rsidRDefault="00FC1718" w14:paraId="48A40AFD" w14:textId="7F2550B6">
      <w:pPr>
        <w:pStyle w:val="letter-subject-line"/>
        <w:rPr>
          <w:noProof/>
        </w:rPr>
      </w:pPr>
      <w:r w:rsidRPr="002C46DB">
        <w:rPr>
          <w:noProof/>
        </w:rPr>
        <w:t>SOC reason for rejection</w:t>
      </w:r>
      <w:r w:rsidR="006A5D1E">
        <w:rPr>
          <w:noProof/>
        </w:rPr>
        <w:t>:</w:t>
      </w:r>
    </w:p>
    <w:p w:rsidRPr="002C46DB" w:rsidR="00FC1718" w:rsidP="00FC1718" w:rsidRDefault="00696F44" w14:paraId="3CE90EBD" w14:textId="500347DA">
      <w:pPr>
        <w:rPr>
          <w:rFonts w:asciiTheme="minorHAnsi" w:hAnsiTheme="minorHAnsi" w:cstheme="minorHAnsi"/>
        </w:rPr>
      </w:pPr>
      <w:r>
        <w:rPr>
          <w:rFonts w:asciiTheme="minorHAnsi" w:hAnsiTheme="minorHAnsi" w:cstheme="minorHAnsi"/>
          <w:noProof/>
        </w:rPr>
        <w:t>The SOC has been advised this is u</w:t>
      </w:r>
      <w:r w:rsidRPr="002C46DB" w:rsidR="00FC1718">
        <w:rPr>
          <w:rFonts w:asciiTheme="minorHAnsi" w:hAnsiTheme="minorHAnsi" w:cstheme="minorHAnsi"/>
          <w:noProof/>
        </w:rPr>
        <w:t xml:space="preserve">nlawful under </w:t>
      </w:r>
      <w:r w:rsidR="002874AF">
        <w:rPr>
          <w:rFonts w:asciiTheme="minorHAnsi" w:hAnsiTheme="minorHAnsi" w:cstheme="minorHAnsi"/>
          <w:noProof/>
        </w:rPr>
        <w:t>the</w:t>
      </w:r>
      <w:r w:rsidRPr="002C46DB" w:rsidR="00FC1718">
        <w:rPr>
          <w:rFonts w:asciiTheme="minorHAnsi" w:hAnsiTheme="minorHAnsi" w:cstheme="minorHAnsi"/>
          <w:noProof/>
        </w:rPr>
        <w:t xml:space="preserve"> Trade Union and Labour Relations (Consolidation) Act 1992 (TULCRA)</w:t>
      </w:r>
      <w:r w:rsidR="0073635E">
        <w:rPr>
          <w:rFonts w:asciiTheme="minorHAnsi" w:hAnsiTheme="minorHAnsi" w:cstheme="minorHAnsi"/>
          <w:noProof/>
        </w:rPr>
        <w:t>.</w:t>
      </w:r>
    </w:p>
    <w:p w:rsidR="006A5D1E" w:rsidP="00FC1718" w:rsidRDefault="006A5D1E" w14:paraId="4DFC479B" w14:textId="77777777">
      <w:pPr>
        <w:rPr>
          <w:rFonts w:asciiTheme="minorHAnsi" w:hAnsiTheme="minorHAnsi" w:cstheme="minorHAnsi"/>
          <w:b/>
          <w:bCs/>
          <w:sz w:val="40"/>
          <w:szCs w:val="40"/>
        </w:rPr>
      </w:pPr>
    </w:p>
    <w:p w:rsidRPr="002C46DB" w:rsidR="00FC1718" w:rsidP="00FC1718" w:rsidRDefault="00FC1718" w14:paraId="53E74259" w14:textId="4CF0D3DB">
      <w:pPr>
        <w:rPr>
          <w:rFonts w:asciiTheme="minorHAnsi" w:hAnsiTheme="minorHAnsi" w:cstheme="minorHAnsi"/>
          <w:b/>
          <w:bCs/>
          <w:sz w:val="40"/>
          <w:szCs w:val="40"/>
        </w:rPr>
      </w:pPr>
      <w:r w:rsidRPr="002C46DB">
        <w:rPr>
          <w:rFonts w:asciiTheme="minorHAnsi" w:hAnsiTheme="minorHAnsi" w:cstheme="minorHAnsi"/>
          <w:b/>
          <w:bCs/>
          <w:sz w:val="40"/>
          <w:szCs w:val="40"/>
        </w:rPr>
        <w:t xml:space="preserve">Withdrawn Emergency Motions </w:t>
      </w:r>
    </w:p>
    <w:p w:rsidR="00FC1718" w:rsidP="006A5D1E" w:rsidRDefault="00FC1718" w14:paraId="69E93A6E" w14:textId="1EC1FD8D">
      <w:pPr>
        <w:pStyle w:val="Referencebackheading"/>
      </w:pPr>
      <w:r w:rsidRPr="002C46DB">
        <w:t xml:space="preserve">EM2 </w:t>
      </w:r>
      <w:r w:rsidR="00BA45A4">
        <w:t>(superseded by EM5</w:t>
      </w:r>
      <w:r w:rsidR="00AD128E">
        <w:t>)</w:t>
      </w:r>
    </w:p>
    <w:p w:rsidR="00690925" w:rsidP="00FC1718" w:rsidRDefault="00690925" w14:paraId="5461B80B" w14:textId="77777777">
      <w:pPr>
        <w:rPr>
          <w:rFonts w:asciiTheme="minorHAnsi" w:hAnsiTheme="minorHAnsi" w:cstheme="minorHAnsi"/>
          <w:b/>
          <w:bCs/>
        </w:rPr>
      </w:pPr>
    </w:p>
    <w:sectPr w:rsidR="00690925" w:rsidSect="00712D22">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134" w:right="1134" w:bottom="1134" w:left="1701" w:header="720" w:footer="86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C9B" w:rsidRDefault="00B95C9B" w14:paraId="3C273519" w14:textId="77777777">
      <w:r>
        <w:separator/>
      </w:r>
    </w:p>
  </w:endnote>
  <w:endnote w:type="continuationSeparator" w:id="0">
    <w:p w:rsidR="00B95C9B" w:rsidRDefault="00B95C9B" w14:paraId="204372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918F6" w:rsidRDefault="00153F3C" w14:paraId="125EF33E" w14:textId="09EFC92F">
    <w:pPr>
      <w:pStyle w:val="Footer"/>
      <w:framePr w:wrap="around" w:hAnchor="margin" w:vAnchor="text" w:xAlign="center" w:y="1"/>
    </w:pPr>
    <w:r>
      <w:rPr>
        <w:noProof/>
      </w:rPr>
      <mc:AlternateContent>
        <mc:Choice Requires="wps">
          <w:drawing>
            <wp:anchor distT="0" distB="0" distL="0" distR="0" simplePos="0" relativeHeight="251658246" behindDoc="0" locked="0" layoutInCell="1" allowOverlap="1" wp14:anchorId="4F05C712" wp14:editId="57C4ADF5">
              <wp:simplePos x="635" y="635"/>
              <wp:positionH relativeFrom="page">
                <wp:align>right</wp:align>
              </wp:positionH>
              <wp:positionV relativeFrom="page">
                <wp:align>bottom</wp:align>
              </wp:positionV>
              <wp:extent cx="707390" cy="400050"/>
              <wp:effectExtent l="0" t="0" r="0" b="0"/>
              <wp:wrapNone/>
              <wp:docPr id="1800589451" name="Text Box 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400050"/>
                      </a:xfrm>
                      <a:prstGeom prst="rect">
                        <a:avLst/>
                      </a:prstGeom>
                      <a:noFill/>
                      <a:ln>
                        <a:noFill/>
                      </a:ln>
                    </wps:spPr>
                    <wps:txbx>
                      <w:txbxContent>
                        <w:p w:rsidRPr="00153F3C" w:rsidR="00153F3C" w:rsidP="00153F3C" w:rsidRDefault="00153F3C" w14:paraId="4649EEE2" w14:textId="1D5E3A28">
                          <w:pPr>
                            <w:rPr>
                              <w:rFonts w:ascii="Century Gothic" w:hAnsi="Century Gothic" w:eastAsia="Century Gothic" w:cs="Century Gothic"/>
                              <w:noProof/>
                              <w:color w:val="5514B4"/>
                              <w:sz w:val="18"/>
                              <w:szCs w:val="18"/>
                            </w:rPr>
                          </w:pPr>
                          <w:r w:rsidRPr="00153F3C">
                            <w:rPr>
                              <w:rFonts w:ascii="Century Gothic" w:hAnsi="Century Gothic" w:eastAsia="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1545C288">
            <v:shapetype id="_x0000_t202" coordsize="21600,21600" o:spt="202" path="m,l,21600r21600,l21600,xe" w14:anchorId="4F05C712">
              <v:stroke joinstyle="miter"/>
              <v:path gradientshapeok="t" o:connecttype="rect"/>
            </v:shapetype>
            <v:shape id="Text Box 7" style="position:absolute;margin-left:4.5pt;margin-top:0;width:55.7pt;height:31.5pt;z-index:251666432;visibility:visible;mso-wrap-style:none;mso-wrap-distance-left:0;mso-wrap-distance-top:0;mso-wrap-distance-right:0;mso-wrap-distance-bottom:0;mso-position-horizontal:right;mso-position-horizontal-relative:page;mso-position-vertical:bottom;mso-position-vertical-relative:page;v-text-anchor:bottom" alt="Gener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">
              <v:fill o:detectmouseclick="t"/>
              <v:textbox style="mso-fit-shape-to-text:t" inset="0,0,20pt,15pt">
                <w:txbxContent>
                  <w:p w:rsidRPr="00153F3C" w:rsidR="00153F3C" w:rsidP="00153F3C" w:rsidRDefault="00153F3C" w14:paraId="74F795F1" w14:textId="1D5E3A28">
                    <w:pPr>
                      <w:rPr>
                        <w:rFonts w:ascii="Century Gothic" w:hAnsi="Century Gothic" w:eastAsia="Century Gothic" w:cs="Century Gothic"/>
                        <w:noProof/>
                        <w:color w:val="5514B4"/>
                        <w:sz w:val="18"/>
                        <w:szCs w:val="18"/>
                      </w:rPr>
                    </w:pPr>
                    <w:r w:rsidRPr="00153F3C">
                      <w:rPr>
                        <w:rFonts w:ascii="Century Gothic" w:hAnsi="Century Gothic" w:eastAsia="Century Gothic" w:cs="Century Gothic"/>
                        <w:noProof/>
                        <w:color w:val="5514B4"/>
                        <w:sz w:val="18"/>
                        <w:szCs w:val="18"/>
                      </w:rPr>
                      <w:t>General</w:t>
                    </w:r>
                  </w:p>
                </w:txbxContent>
              </v:textbox>
              <w10:wrap anchorx="page" anchory="page"/>
            </v:shape>
          </w:pict>
        </mc:Fallback>
      </mc:AlternateContent>
    </w:r>
    <w:r w:rsidR="00E34C55">
      <w:fldChar w:fldCharType="begin"/>
    </w:r>
    <w:r w:rsidR="00E34C55">
      <w:instrText xml:space="preserve">PAGE  </w:instrText>
    </w:r>
    <w:r w:rsidR="00E34C55">
      <w:fldChar w:fldCharType="end"/>
    </w:r>
  </w:p>
  <w:p w:rsidR="001918F6" w:rsidRDefault="001918F6" w14:paraId="5FA655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918F6" w:rsidP="00712D22" w:rsidRDefault="00153F3C" w14:paraId="1734CB47" w14:textId="07F8520A">
    <w:pPr>
      <w:pStyle w:val="Footer"/>
      <w:tabs>
        <w:tab w:val="right" w:pos="9071"/>
      </w:tabs>
      <w:spacing w:before="360"/>
    </w:pPr>
    <w:r>
      <w:rPr>
        <w:noProof/>
      </w:rPr>
      <mc:AlternateContent>
        <mc:Choice Requires="wps">
          <w:drawing>
            <wp:anchor distT="0" distB="0" distL="0" distR="0" simplePos="0" relativeHeight="251658247" behindDoc="0" locked="0" layoutInCell="1" allowOverlap="1" wp14:anchorId="5C700CD8" wp14:editId="7EBC3311">
              <wp:simplePos x="635" y="635"/>
              <wp:positionH relativeFrom="page">
                <wp:align>right</wp:align>
              </wp:positionH>
              <wp:positionV relativeFrom="page">
                <wp:align>bottom</wp:align>
              </wp:positionV>
              <wp:extent cx="707390" cy="400050"/>
              <wp:effectExtent l="0" t="0" r="0" b="0"/>
              <wp:wrapNone/>
              <wp:docPr id="549626053" name="Text Box 8"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400050"/>
                      </a:xfrm>
                      <a:prstGeom prst="rect">
                        <a:avLst/>
                      </a:prstGeom>
                      <a:noFill/>
                      <a:ln>
                        <a:noFill/>
                      </a:ln>
                    </wps:spPr>
                    <wps:txbx>
                      <w:txbxContent>
                        <w:p w:rsidRPr="00153F3C" w:rsidR="00153F3C" w:rsidP="00153F3C" w:rsidRDefault="00153F3C" w14:paraId="44C8D7BA" w14:textId="6808E232">
                          <w:pPr>
                            <w:rPr>
                              <w:rFonts w:ascii="Century Gothic" w:hAnsi="Century Gothic" w:eastAsia="Century Gothic" w:cs="Century Gothic"/>
                              <w:noProof/>
                              <w:color w:val="5514B4"/>
                              <w:sz w:val="18"/>
                              <w:szCs w:val="18"/>
                            </w:rPr>
                          </w:pPr>
                          <w:r w:rsidRPr="00153F3C">
                            <w:rPr>
                              <w:rFonts w:ascii="Century Gothic" w:hAnsi="Century Gothic" w:eastAsia="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106003CF">
            <v:shapetype id="_x0000_t202" coordsize="21600,21600" o:spt="202" path="m,l,21600r21600,l21600,xe" w14:anchorId="5C700CD8">
              <v:stroke joinstyle="miter"/>
              <v:path gradientshapeok="t" o:connecttype="rect"/>
            </v:shapetype>
            <v:shape id="Text Box 8" style="position:absolute;margin-left:4.5pt;margin-top:0;width:55.7pt;height:31.5pt;z-index:251667456;visibility:visible;mso-wrap-style:none;mso-wrap-distance-left:0;mso-wrap-distance-top:0;mso-wrap-distance-right:0;mso-wrap-distance-bottom:0;mso-position-horizontal:right;mso-position-horizontal-relative:page;mso-position-vertical:bottom;mso-position-vertical-relative:page;v-text-anchor:bottom" alt="Gener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">
              <v:fill o:detectmouseclick="t"/>
              <v:textbox style="mso-fit-shape-to-text:t" inset="0,0,20pt,15pt">
                <w:txbxContent>
                  <w:p w:rsidRPr="00153F3C" w:rsidR="00153F3C" w:rsidP="00153F3C" w:rsidRDefault="00153F3C" w14:paraId="2D46DD63" w14:textId="6808E232">
                    <w:pPr>
                      <w:rPr>
                        <w:rFonts w:ascii="Century Gothic" w:hAnsi="Century Gothic" w:eastAsia="Century Gothic" w:cs="Century Gothic"/>
                        <w:noProof/>
                        <w:color w:val="5514B4"/>
                        <w:sz w:val="18"/>
                        <w:szCs w:val="18"/>
                      </w:rPr>
                    </w:pPr>
                    <w:r w:rsidRPr="00153F3C">
                      <w:rPr>
                        <w:rFonts w:ascii="Century Gothic" w:hAnsi="Century Gothic" w:eastAsia="Century Gothic" w:cs="Century Gothic"/>
                        <w:noProof/>
                        <w:color w:val="5514B4"/>
                        <w:sz w:val="18"/>
                        <w:szCs w:val="18"/>
                      </w:rPr>
                      <w:t>General</w:t>
                    </w:r>
                  </w:p>
                </w:txbxContent>
              </v:textbox>
              <w10:wrap anchorx="page" anchory="page"/>
            </v:shape>
          </w:pict>
        </mc:Fallback>
      </mc:AlternateContent>
    </w:r>
    <w:r w:rsidR="00712D22">
      <w:rPr>
        <w:noProof/>
      </w:rPr>
      <mc:AlternateContent>
        <mc:Choice Requires="wps">
          <w:drawing>
            <wp:anchor distT="0" distB="0" distL="114300" distR="114300" simplePos="0" relativeHeight="251658240" behindDoc="0" locked="0" layoutInCell="1" allowOverlap="1" wp14:anchorId="605F7D98" wp14:editId="4A620869">
              <wp:simplePos x="0" y="0"/>
              <wp:positionH relativeFrom="column">
                <wp:posOffset>-3810</wp:posOffset>
              </wp:positionH>
              <wp:positionV relativeFrom="paragraph">
                <wp:posOffset>154305</wp:posOffset>
              </wp:positionV>
              <wp:extent cx="5762625" cy="0"/>
              <wp:effectExtent l="0" t="12700" r="15875" b="12700"/>
              <wp:wrapNone/>
              <wp:docPr id="1424616206"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accent4"/>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w14:anchorId="39E9DE14">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78375 [3207]" strokeweight="1.5pt" from="-.3pt,12.15pt" to="453.45pt,12.15pt" w14:anchorId="6873D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">
              <v:stroke joinstyle="miter"/>
            </v:line>
          </w:pict>
        </mc:Fallback>
      </mc:AlternateContent>
    </w:r>
    <w:r w:rsidR="00E43601">
      <w:t>SOC2026-0</w:t>
    </w:r>
    <w:r w:rsidR="00C40D82">
      <w:t>3</w:t>
    </w:r>
    <w:r w:rsidRPr="00762088" w:rsidR="00712D22">
      <w:tab/>
    </w:r>
    <w:r w:rsidRPr="00762088" w:rsidR="00712D22">
      <w:t xml:space="preserve">Page </w:t>
    </w:r>
    <w:r w:rsidR="00712D22">
      <w:fldChar w:fldCharType="begin"/>
    </w:r>
    <w:r w:rsidR="00712D22">
      <w:instrText xml:space="preserve"> PAGE   \* MERGEFORMAT </w:instrText>
    </w:r>
    <w:r w:rsidR="00712D22">
      <w:fldChar w:fldCharType="separate"/>
    </w:r>
    <w:r w:rsidR="00712D22">
      <w:t>2</w:t>
    </w:r>
    <w:r w:rsidR="00712D2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12D22" w:rsidP="00712D22" w:rsidRDefault="00153F3C" w14:paraId="1032EDBA" w14:textId="2683EC90">
    <w:pPr>
      <w:pStyle w:val="Footer"/>
      <w:tabs>
        <w:tab w:val="right" w:pos="9071"/>
      </w:tabs>
      <w:spacing w:before="360"/>
    </w:pPr>
    <w:r>
      <w:rPr>
        <w:noProof/>
      </w:rPr>
      <mc:AlternateContent>
        <mc:Choice Requires="wps">
          <w:drawing>
            <wp:anchor distT="0" distB="0" distL="0" distR="0" simplePos="0" relativeHeight="251658245" behindDoc="0" locked="0" layoutInCell="1" allowOverlap="1" wp14:anchorId="2E170AE8" wp14:editId="3CF1082A">
              <wp:simplePos x="635" y="635"/>
              <wp:positionH relativeFrom="page">
                <wp:align>right</wp:align>
              </wp:positionH>
              <wp:positionV relativeFrom="page">
                <wp:align>bottom</wp:align>
              </wp:positionV>
              <wp:extent cx="707390" cy="400050"/>
              <wp:effectExtent l="0" t="0" r="0" b="0"/>
              <wp:wrapNone/>
              <wp:docPr id="406046442"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400050"/>
                      </a:xfrm>
                      <a:prstGeom prst="rect">
                        <a:avLst/>
                      </a:prstGeom>
                      <a:noFill/>
                      <a:ln>
                        <a:noFill/>
                      </a:ln>
                    </wps:spPr>
                    <wps:txbx>
                      <w:txbxContent>
                        <w:p w:rsidRPr="00153F3C" w:rsidR="00153F3C" w:rsidP="00153F3C" w:rsidRDefault="00153F3C" w14:paraId="0865E1D0" w14:textId="479498AB">
                          <w:pPr>
                            <w:rPr>
                              <w:rFonts w:ascii="Century Gothic" w:hAnsi="Century Gothic" w:eastAsia="Century Gothic" w:cs="Century Gothic"/>
                              <w:noProof/>
                              <w:color w:val="5514B4"/>
                              <w:sz w:val="18"/>
                              <w:szCs w:val="18"/>
                            </w:rPr>
                          </w:pPr>
                          <w:r w:rsidRPr="00153F3C">
                            <w:rPr>
                              <w:rFonts w:ascii="Century Gothic" w:hAnsi="Century Gothic" w:eastAsia="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68BE32F5">
            <v:shapetype id="_x0000_t202" coordsize="21600,21600" o:spt="202" path="m,l,21600r21600,l21600,xe" w14:anchorId="2E170AE8">
              <v:stroke joinstyle="miter"/>
              <v:path gradientshapeok="t" o:connecttype="rect"/>
            </v:shapetype>
            <v:shape id="Text Box 6" style="position:absolute;margin-left:4.5pt;margin-top:0;width:55.7pt;height:31.5pt;z-index:251665408;visibility:visible;mso-wrap-style:none;mso-wrap-distance-left:0;mso-wrap-distance-top:0;mso-wrap-distance-right:0;mso-wrap-distance-bottom:0;mso-position-horizontal:right;mso-position-horizontal-relative:page;mso-position-vertical:bottom;mso-position-vertical-relative:page;v-text-anchor:bottom" alt="Gener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">
              <v:fill o:detectmouseclick="t"/>
              <v:textbox style="mso-fit-shape-to-text:t" inset="0,0,20pt,15pt">
                <w:txbxContent>
                  <w:p w:rsidRPr="00153F3C" w:rsidR="00153F3C" w:rsidP="00153F3C" w:rsidRDefault="00153F3C" w14:paraId="0576F135" w14:textId="479498AB">
                    <w:pPr>
                      <w:rPr>
                        <w:rFonts w:ascii="Century Gothic" w:hAnsi="Century Gothic" w:eastAsia="Century Gothic" w:cs="Century Gothic"/>
                        <w:noProof/>
                        <w:color w:val="5514B4"/>
                        <w:sz w:val="18"/>
                        <w:szCs w:val="18"/>
                      </w:rPr>
                    </w:pPr>
                    <w:r w:rsidRPr="00153F3C">
                      <w:rPr>
                        <w:rFonts w:ascii="Century Gothic" w:hAnsi="Century Gothic" w:eastAsia="Century Gothic" w:cs="Century Gothic"/>
                        <w:noProof/>
                        <w:color w:val="5514B4"/>
                        <w:sz w:val="18"/>
                        <w:szCs w:val="18"/>
                      </w:rPr>
                      <w:t>General</w:t>
                    </w:r>
                  </w:p>
                </w:txbxContent>
              </v:textbox>
              <w10:wrap anchorx="page" anchory="page"/>
            </v:shape>
          </w:pict>
        </mc:Fallback>
      </mc:AlternateContent>
    </w:r>
    <w:r w:rsidR="00712D22">
      <w:rPr>
        <w:noProof/>
      </w:rPr>
      <mc:AlternateContent>
        <mc:Choice Requires="wps">
          <w:drawing>
            <wp:anchor distT="0" distB="0" distL="114300" distR="114300" simplePos="0" relativeHeight="251658241" behindDoc="0" locked="0" layoutInCell="1" allowOverlap="1" wp14:anchorId="2DE975F8" wp14:editId="705F6C0E">
              <wp:simplePos x="0" y="0"/>
              <wp:positionH relativeFrom="column">
                <wp:posOffset>-3810</wp:posOffset>
              </wp:positionH>
              <wp:positionV relativeFrom="paragraph">
                <wp:posOffset>154305</wp:posOffset>
              </wp:positionV>
              <wp:extent cx="5762625" cy="0"/>
              <wp:effectExtent l="0" t="12700" r="15875" b="12700"/>
              <wp:wrapNone/>
              <wp:docPr id="833420612"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accent4"/>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w14:anchorId="779A249E">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078375 [3207]" strokeweight="1.5pt" from="-.3pt,12.15pt" to="453.45pt,12.15pt" w14:anchorId="1E41E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">
              <v:stroke joinstyle="miter"/>
            </v:line>
          </w:pict>
        </mc:Fallback>
      </mc:AlternateContent>
    </w:r>
    <w:r w:rsidRPr="000102A5" w:rsidR="000102A5">
      <w:t xml:space="preserve"> </w:t>
    </w:r>
    <w:r w:rsidR="000102A5">
      <w:t>SOC2026-0</w:t>
    </w:r>
    <w:r w:rsidR="00C40D82">
      <w:t>3</w:t>
    </w:r>
    <w:r w:rsidRPr="00762088" w:rsidR="00712D22">
      <w:tab/>
    </w:r>
    <w:r w:rsidRPr="00762088" w:rsidR="00712D22">
      <w:t xml:space="preserve">Page </w:t>
    </w:r>
    <w:r w:rsidR="00712D22">
      <w:fldChar w:fldCharType="begin"/>
    </w:r>
    <w:r w:rsidR="00712D22">
      <w:instrText xml:space="preserve"> PAGE   \* MERGEFORMAT </w:instrText>
    </w:r>
    <w:r w:rsidR="00712D22">
      <w:fldChar w:fldCharType="separate"/>
    </w:r>
    <w:r w:rsidR="00712D22">
      <w:t>2</w:t>
    </w:r>
    <w:r w:rsidR="00712D22">
      <w:rPr>
        <w:noProof/>
      </w:rPr>
      <w:fldChar w:fldCharType="end"/>
    </w:r>
    <w:r w:rsidR="00712D2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C9B" w:rsidRDefault="00B95C9B" w14:paraId="669AFA8F" w14:textId="77777777">
      <w:r>
        <w:separator/>
      </w:r>
    </w:p>
  </w:footnote>
  <w:footnote w:type="continuationSeparator" w:id="0">
    <w:p w:rsidR="00B95C9B" w:rsidRDefault="00B95C9B" w14:paraId="0FA8123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53F3C" w:rsidRDefault="00153F3C" w14:paraId="78A7EFA5" w14:textId="7D902C10">
    <w:pPr>
      <w:pStyle w:val="Header"/>
    </w:pPr>
    <w:r>
      <w:rPr>
        <w:noProof/>
      </w:rPr>
      <mc:AlternateContent>
        <mc:Choice Requires="wps">
          <w:drawing>
            <wp:anchor distT="0" distB="0" distL="0" distR="0" simplePos="0" relativeHeight="251658243" behindDoc="0" locked="0" layoutInCell="1" allowOverlap="1" wp14:anchorId="1EF74B50" wp14:editId="05D2B1C6">
              <wp:simplePos x="635" y="635"/>
              <wp:positionH relativeFrom="page">
                <wp:align>right</wp:align>
              </wp:positionH>
              <wp:positionV relativeFrom="page">
                <wp:align>top</wp:align>
              </wp:positionV>
              <wp:extent cx="707390" cy="400050"/>
              <wp:effectExtent l="0" t="0" r="0" b="0"/>
              <wp:wrapNone/>
              <wp:docPr id="935254406" name="Text Box 4"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400050"/>
                      </a:xfrm>
                      <a:prstGeom prst="rect">
                        <a:avLst/>
                      </a:prstGeom>
                      <a:noFill/>
                      <a:ln>
                        <a:noFill/>
                      </a:ln>
                    </wps:spPr>
                    <wps:txbx>
                      <w:txbxContent>
                        <w:p w:rsidRPr="00153F3C" w:rsidR="00153F3C" w:rsidP="00153F3C" w:rsidRDefault="00153F3C" w14:paraId="478E583D" w14:textId="3ADC073C">
                          <w:pPr>
                            <w:rPr>
                              <w:rFonts w:ascii="Century Gothic" w:hAnsi="Century Gothic" w:eastAsia="Century Gothic" w:cs="Century Gothic"/>
                              <w:noProof/>
                              <w:color w:val="5514B4"/>
                              <w:sz w:val="18"/>
                              <w:szCs w:val="18"/>
                            </w:rPr>
                          </w:pPr>
                          <w:r w:rsidRPr="00153F3C">
                            <w:rPr>
                              <w:rFonts w:ascii="Century Gothic" w:hAnsi="Century Gothic" w:eastAsia="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1458B286">
            <v:shapetype id="_x0000_t202" coordsize="21600,21600" o:spt="202" path="m,l,21600r21600,l21600,xe" w14:anchorId="1EF74B50">
              <v:stroke joinstyle="miter"/>
              <v:path gradientshapeok="t" o:connecttype="rect"/>
            </v:shapetype>
            <v:shape id="Text Box 4" style="position:absolute;margin-left:4.5pt;margin-top:0;width:55.7pt;height:31.5pt;z-index:251663360;visibility:visible;mso-wrap-style:none;mso-wrap-distance-left:0;mso-wrap-distance-top:0;mso-wrap-distance-right:0;mso-wrap-distance-bottom:0;mso-position-horizontal:right;mso-position-horizontal-relative:page;mso-position-vertical:top;mso-position-vertical-relative:page;v-text-anchor:top" alt="Gener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">
              <v:fill o:detectmouseclick="t"/>
              <v:textbox style="mso-fit-shape-to-text:t" inset="0,15pt,20pt,0">
                <w:txbxContent>
                  <w:p w:rsidRPr="00153F3C" w:rsidR="00153F3C" w:rsidP="00153F3C" w:rsidRDefault="00153F3C" w14:paraId="79093B1D" w14:textId="3ADC073C">
                    <w:pPr>
                      <w:rPr>
                        <w:rFonts w:ascii="Century Gothic" w:hAnsi="Century Gothic" w:eastAsia="Century Gothic" w:cs="Century Gothic"/>
                        <w:noProof/>
                        <w:color w:val="5514B4"/>
                        <w:sz w:val="18"/>
                        <w:szCs w:val="18"/>
                      </w:rPr>
                    </w:pPr>
                    <w:r w:rsidRPr="00153F3C">
                      <w:rPr>
                        <w:rFonts w:ascii="Century Gothic" w:hAnsi="Century Gothic" w:eastAsia="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53F3C" w:rsidRDefault="00153F3C" w14:paraId="1A2C30B4" w14:textId="7366EFEC">
    <w:pPr>
      <w:pStyle w:val="Header"/>
    </w:pPr>
    <w:r>
      <w:rPr>
        <w:noProof/>
      </w:rPr>
      <mc:AlternateContent>
        <mc:Choice Requires="wps">
          <w:drawing>
            <wp:anchor distT="0" distB="0" distL="0" distR="0" simplePos="0" relativeHeight="251658244" behindDoc="0" locked="0" layoutInCell="1" allowOverlap="1" wp14:anchorId="4F0F2818" wp14:editId="6117B32D">
              <wp:simplePos x="635" y="635"/>
              <wp:positionH relativeFrom="page">
                <wp:align>right</wp:align>
              </wp:positionH>
              <wp:positionV relativeFrom="page">
                <wp:align>top</wp:align>
              </wp:positionV>
              <wp:extent cx="707390" cy="400050"/>
              <wp:effectExtent l="0" t="0" r="0" b="0"/>
              <wp:wrapNone/>
              <wp:docPr id="336814189" name="Text Box 5"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400050"/>
                      </a:xfrm>
                      <a:prstGeom prst="rect">
                        <a:avLst/>
                      </a:prstGeom>
                      <a:noFill/>
                      <a:ln>
                        <a:noFill/>
                      </a:ln>
                    </wps:spPr>
                    <wps:txbx>
                      <w:txbxContent>
                        <w:p w:rsidRPr="00153F3C" w:rsidR="00153F3C" w:rsidP="00153F3C" w:rsidRDefault="00153F3C" w14:paraId="3E9E2241" w14:textId="5394DD5F">
                          <w:pPr>
                            <w:rPr>
                              <w:rFonts w:ascii="Century Gothic" w:hAnsi="Century Gothic" w:eastAsia="Century Gothic" w:cs="Century Gothic"/>
                              <w:noProof/>
                              <w:color w:val="5514B4"/>
                              <w:sz w:val="18"/>
                              <w:szCs w:val="18"/>
                            </w:rPr>
                          </w:pPr>
                          <w:r w:rsidRPr="00153F3C">
                            <w:rPr>
                              <w:rFonts w:ascii="Century Gothic" w:hAnsi="Century Gothic" w:eastAsia="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76E4F3B1">
            <v:shapetype id="_x0000_t202" coordsize="21600,21600" o:spt="202" path="m,l,21600r21600,l21600,xe" w14:anchorId="4F0F2818">
              <v:stroke joinstyle="miter"/>
              <v:path gradientshapeok="t" o:connecttype="rect"/>
            </v:shapetype>
            <v:shape id="Text Box 5" style="position:absolute;margin-left:4.5pt;margin-top:0;width:55.7pt;height:31.5pt;z-index:251664384;visibility:visible;mso-wrap-style:none;mso-wrap-distance-left:0;mso-wrap-distance-top:0;mso-wrap-distance-right:0;mso-wrap-distance-bottom:0;mso-position-horizontal:right;mso-position-horizontal-relative:page;mso-position-vertical:top;mso-position-vertical-relative:page;v-text-anchor:top" alt="Gener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">
              <v:fill o:detectmouseclick="t"/>
              <v:textbox style="mso-fit-shape-to-text:t" inset="0,15pt,20pt,0">
                <w:txbxContent>
                  <w:p w:rsidRPr="00153F3C" w:rsidR="00153F3C" w:rsidP="00153F3C" w:rsidRDefault="00153F3C" w14:paraId="4CB830D1" w14:textId="5394DD5F">
                    <w:pPr>
                      <w:rPr>
                        <w:rFonts w:ascii="Century Gothic" w:hAnsi="Century Gothic" w:eastAsia="Century Gothic" w:cs="Century Gothic"/>
                        <w:noProof/>
                        <w:color w:val="5514B4"/>
                        <w:sz w:val="18"/>
                        <w:szCs w:val="18"/>
                      </w:rPr>
                    </w:pPr>
                    <w:r w:rsidRPr="00153F3C">
                      <w:rPr>
                        <w:rFonts w:ascii="Century Gothic" w:hAnsi="Century Gothic" w:eastAsia="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53F3C" w:rsidRDefault="00153F3C" w14:paraId="2413A109" w14:textId="63BF3A2D">
    <w:pPr>
      <w:pStyle w:val="Header"/>
    </w:pPr>
    <w:r>
      <w:rPr>
        <w:noProof/>
      </w:rPr>
      <mc:AlternateContent>
        <mc:Choice Requires="wps">
          <w:drawing>
            <wp:anchor distT="0" distB="0" distL="0" distR="0" simplePos="0" relativeHeight="251658242" behindDoc="0" locked="0" layoutInCell="1" allowOverlap="1" wp14:anchorId="3A27B7F9" wp14:editId="66DBA1CD">
              <wp:simplePos x="635" y="635"/>
              <wp:positionH relativeFrom="page">
                <wp:align>right</wp:align>
              </wp:positionH>
              <wp:positionV relativeFrom="page">
                <wp:align>top</wp:align>
              </wp:positionV>
              <wp:extent cx="707390" cy="400050"/>
              <wp:effectExtent l="0" t="0" r="0" b="0"/>
              <wp:wrapNone/>
              <wp:docPr id="1664905914"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400050"/>
                      </a:xfrm>
                      <a:prstGeom prst="rect">
                        <a:avLst/>
                      </a:prstGeom>
                      <a:noFill/>
                      <a:ln>
                        <a:noFill/>
                      </a:ln>
                    </wps:spPr>
                    <wps:txbx>
                      <w:txbxContent>
                        <w:p w:rsidRPr="00153F3C" w:rsidR="00153F3C" w:rsidP="00153F3C" w:rsidRDefault="00153F3C" w14:paraId="5A52B3D8" w14:textId="31CA5BC8">
                          <w:pPr>
                            <w:rPr>
                              <w:rFonts w:ascii="Century Gothic" w:hAnsi="Century Gothic" w:eastAsia="Century Gothic" w:cs="Century Gothic"/>
                              <w:noProof/>
                              <w:color w:val="5514B4"/>
                              <w:sz w:val="18"/>
                              <w:szCs w:val="18"/>
                            </w:rPr>
                          </w:pPr>
                          <w:r w:rsidRPr="00153F3C">
                            <w:rPr>
                              <w:rFonts w:ascii="Century Gothic" w:hAnsi="Century Gothic" w:eastAsia="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629BBE0F">
            <v:shapetype id="_x0000_t202" coordsize="21600,21600" o:spt="202" path="m,l,21600r21600,l21600,xe" w14:anchorId="3A27B7F9">
              <v:stroke joinstyle="miter"/>
              <v:path gradientshapeok="t" o:connecttype="rect"/>
            </v:shapetype>
            <v:shape id="Text Box 3" style="position:absolute;margin-left:4.5pt;margin-top:0;width:55.7pt;height:31.5pt;z-index:251662336;visibility:visible;mso-wrap-style:none;mso-wrap-distance-left:0;mso-wrap-distance-top:0;mso-wrap-distance-right:0;mso-wrap-distance-bottom:0;mso-position-horizontal:right;mso-position-horizontal-relative:page;mso-position-vertical:top;mso-position-vertical-relative:page;v-text-anchor:top" alt="Gener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">
              <v:fill o:detectmouseclick="t"/>
              <v:textbox style="mso-fit-shape-to-text:t" inset="0,15pt,20pt,0">
                <w:txbxContent>
                  <w:p w:rsidRPr="00153F3C" w:rsidR="00153F3C" w:rsidP="00153F3C" w:rsidRDefault="00153F3C" w14:paraId="0907659B" w14:textId="31CA5BC8">
                    <w:pPr>
                      <w:rPr>
                        <w:rFonts w:ascii="Century Gothic" w:hAnsi="Century Gothic" w:eastAsia="Century Gothic" w:cs="Century Gothic"/>
                        <w:noProof/>
                        <w:color w:val="5514B4"/>
                        <w:sz w:val="18"/>
                        <w:szCs w:val="18"/>
                      </w:rPr>
                    </w:pPr>
                    <w:r w:rsidRPr="00153F3C">
                      <w:rPr>
                        <w:rFonts w:ascii="Century Gothic" w:hAnsi="Century Gothic" w:eastAsia="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955"/>
    <w:multiLevelType w:val="hybridMultilevel"/>
    <w:tmpl w:val="5F1410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2ADB56B6"/>
    <w:multiLevelType w:val="hybridMultilevel"/>
    <w:tmpl w:val="474C8414"/>
    <w:lvl w:ilvl="0" w:tplc="51FC96FC">
      <w:start w:val="3"/>
      <w:numFmt w:val="bullet"/>
      <w:lvlText w:val="-"/>
      <w:lvlJc w:val="left"/>
      <w:pPr>
        <w:ind w:left="720" w:hanging="360"/>
      </w:pPr>
      <w:rPr>
        <w:rFonts w:hint="default" w:ascii="Arial" w:hAnsi="Arial" w:eastAsia="Times"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hint="default" w:ascii="Symbol" w:hAnsi="Symbol"/>
        <w:color w:val="auto"/>
      </w:rPr>
    </w:lvl>
    <w:lvl w:ilvl="1">
      <w:start w:val="1"/>
      <w:numFmt w:val="bullet"/>
      <w:pStyle w:val="ListBullet2"/>
      <w:lvlText w:val="o"/>
      <w:lvlJc w:val="left"/>
      <w:pPr>
        <w:tabs>
          <w:tab w:val="num" w:pos="680"/>
        </w:tabs>
        <w:ind w:left="680" w:hanging="340"/>
      </w:pPr>
      <w:rPr>
        <w:rFonts w:hint="default" w:ascii="Courier New" w:hAnsi="Courier New"/>
      </w:rPr>
    </w:lvl>
    <w:lvl w:ilvl="2">
      <w:start w:val="1"/>
      <w:numFmt w:val="bullet"/>
      <w:pStyle w:val="ListBullet3"/>
      <w:lvlText w:val=""/>
      <w:lvlJc w:val="left"/>
      <w:pPr>
        <w:tabs>
          <w:tab w:val="num" w:pos="1361"/>
        </w:tabs>
        <w:ind w:left="1361" w:hanging="681"/>
      </w:pPr>
      <w:rPr>
        <w:rFonts w:hint="default" w:ascii="Wingdings" w:hAnsi="Wingdings"/>
      </w:rPr>
    </w:lvl>
    <w:lvl w:ilvl="3">
      <w:start w:val="1"/>
      <w:numFmt w:val="bullet"/>
      <w:pStyle w:val="ListBullet4"/>
      <w:lvlText w:val=""/>
      <w:lvlJc w:val="left"/>
      <w:pPr>
        <w:tabs>
          <w:tab w:val="num" w:pos="1758"/>
        </w:tabs>
        <w:ind w:left="1758" w:hanging="397"/>
      </w:pPr>
      <w:rPr>
        <w:rFonts w:hint="default" w:ascii="Symbol" w:hAnsi="Symbol"/>
      </w:rPr>
    </w:lvl>
    <w:lvl w:ilvl="4">
      <w:start w:val="1"/>
      <w:numFmt w:val="bullet"/>
      <w:pStyle w:val="ListBullet5"/>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4" w15:restartNumberingAfterBreak="0">
    <w:nsid w:val="3A9D5FA0"/>
    <w:multiLevelType w:val="hybridMultilevel"/>
    <w:tmpl w:val="B12EDC7C"/>
    <w:lvl w:ilvl="0" w:tplc="51FC96FC">
      <w:start w:val="1"/>
      <w:numFmt w:val="bullet"/>
      <w:lvlText w:val="-"/>
      <w:lvlJc w:val="left"/>
      <w:pPr>
        <w:ind w:left="720" w:hanging="360"/>
      </w:pPr>
      <w:rPr>
        <w:rFonts w:hint="default" w:ascii="Arial" w:hAnsi="Arial" w:eastAsia="Times"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hint="default" w:ascii="Arial" w:hAnsi="Arial"/>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FA5EF3"/>
    <w:multiLevelType w:val="hybridMultilevel"/>
    <w:tmpl w:val="9B4C1F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9EC4CD2"/>
    <w:multiLevelType w:val="hybridMultilevel"/>
    <w:tmpl w:val="D51048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741E7F58"/>
    <w:multiLevelType w:val="hybridMultilevel"/>
    <w:tmpl w:val="8E0A7E0C"/>
    <w:lvl w:ilvl="0" w:tplc="875EB90C">
      <w:numFmt w:val="bullet"/>
      <w:lvlText w:val="-"/>
      <w:lvlJc w:val="left"/>
      <w:pPr>
        <w:ind w:left="930" w:hanging="570"/>
      </w:pPr>
      <w:rPr>
        <w:rFonts w:hint="default" w:ascii="Arial" w:hAnsi="Arial" w:eastAsia="Times"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24067544">
    <w:abstractNumId w:val="5"/>
  </w:num>
  <w:num w:numId="2" w16cid:durableId="883517634">
    <w:abstractNumId w:val="1"/>
  </w:num>
  <w:num w:numId="3" w16cid:durableId="1659114115">
    <w:abstractNumId w:val="3"/>
  </w:num>
  <w:num w:numId="4" w16cid:durableId="316883370">
    <w:abstractNumId w:val="7"/>
  </w:num>
  <w:num w:numId="5" w16cid:durableId="1952202532">
    <w:abstractNumId w:val="8"/>
  </w:num>
  <w:num w:numId="6" w16cid:durableId="1291596431">
    <w:abstractNumId w:val="6"/>
  </w:num>
  <w:num w:numId="7" w16cid:durableId="16787752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202315">
    <w:abstractNumId w:val="11"/>
  </w:num>
  <w:num w:numId="9" w16cid:durableId="1169637701">
    <w:abstractNumId w:val="2"/>
  </w:num>
  <w:num w:numId="10" w16cid:durableId="1505240214">
    <w:abstractNumId w:val="4"/>
  </w:num>
  <w:num w:numId="11" w16cid:durableId="711728728">
    <w:abstractNumId w:val="9"/>
  </w:num>
  <w:num w:numId="12" w16cid:durableId="1207529348">
    <w:abstractNumId w:val="10"/>
  </w:num>
  <w:num w:numId="13" w16cid:durableId="1963682749">
    <w:abstractNumId w:val="0"/>
  </w:num>
  <w:num w:numId="14" w16cid:durableId="1530022978">
    <w:abstractNumId w:val="12"/>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01"/>
    <w:rsid w:val="000102A5"/>
    <w:rsid w:val="000134EA"/>
    <w:rsid w:val="00025ECB"/>
    <w:rsid w:val="00032DF0"/>
    <w:rsid w:val="00034577"/>
    <w:rsid w:val="00054E14"/>
    <w:rsid w:val="0006388C"/>
    <w:rsid w:val="00064583"/>
    <w:rsid w:val="000702B4"/>
    <w:rsid w:val="0007575A"/>
    <w:rsid w:val="000868C3"/>
    <w:rsid w:val="000A1ADD"/>
    <w:rsid w:val="000B5E8C"/>
    <w:rsid w:val="000D2062"/>
    <w:rsid w:val="000E3910"/>
    <w:rsid w:val="000E7EF3"/>
    <w:rsid w:val="000F2230"/>
    <w:rsid w:val="000F597B"/>
    <w:rsid w:val="001074F6"/>
    <w:rsid w:val="0011200C"/>
    <w:rsid w:val="001228D8"/>
    <w:rsid w:val="00122F1D"/>
    <w:rsid w:val="00127AFC"/>
    <w:rsid w:val="00132547"/>
    <w:rsid w:val="00132D4D"/>
    <w:rsid w:val="00135A5D"/>
    <w:rsid w:val="00135D64"/>
    <w:rsid w:val="001465A5"/>
    <w:rsid w:val="001520AF"/>
    <w:rsid w:val="00153F3C"/>
    <w:rsid w:val="001633CE"/>
    <w:rsid w:val="001664C4"/>
    <w:rsid w:val="00167C0A"/>
    <w:rsid w:val="00170232"/>
    <w:rsid w:val="001778F5"/>
    <w:rsid w:val="00181C9F"/>
    <w:rsid w:val="00183D96"/>
    <w:rsid w:val="00184B01"/>
    <w:rsid w:val="001918F6"/>
    <w:rsid w:val="001B1121"/>
    <w:rsid w:val="001B5F19"/>
    <w:rsid w:val="001C1C80"/>
    <w:rsid w:val="001F5DBE"/>
    <w:rsid w:val="001F7B13"/>
    <w:rsid w:val="00200C94"/>
    <w:rsid w:val="00204857"/>
    <w:rsid w:val="002133A7"/>
    <w:rsid w:val="00227700"/>
    <w:rsid w:val="002426EC"/>
    <w:rsid w:val="00244EF3"/>
    <w:rsid w:val="00257E14"/>
    <w:rsid w:val="00262F35"/>
    <w:rsid w:val="00266793"/>
    <w:rsid w:val="0027502C"/>
    <w:rsid w:val="00284C89"/>
    <w:rsid w:val="00286339"/>
    <w:rsid w:val="002874AF"/>
    <w:rsid w:val="002A75F4"/>
    <w:rsid w:val="002B48FC"/>
    <w:rsid w:val="002B4D5E"/>
    <w:rsid w:val="002C21B7"/>
    <w:rsid w:val="002C46DB"/>
    <w:rsid w:val="002D193A"/>
    <w:rsid w:val="002D626B"/>
    <w:rsid w:val="002E2A35"/>
    <w:rsid w:val="002E64B0"/>
    <w:rsid w:val="002E665F"/>
    <w:rsid w:val="00301349"/>
    <w:rsid w:val="00311400"/>
    <w:rsid w:val="00324A97"/>
    <w:rsid w:val="003425DB"/>
    <w:rsid w:val="003611C1"/>
    <w:rsid w:val="00377D57"/>
    <w:rsid w:val="00383C52"/>
    <w:rsid w:val="00396D1F"/>
    <w:rsid w:val="003A23CA"/>
    <w:rsid w:val="003B2026"/>
    <w:rsid w:val="003B2FE9"/>
    <w:rsid w:val="003B7F74"/>
    <w:rsid w:val="003C3164"/>
    <w:rsid w:val="003C3E63"/>
    <w:rsid w:val="003C44EC"/>
    <w:rsid w:val="003D1878"/>
    <w:rsid w:val="004273F0"/>
    <w:rsid w:val="00433C71"/>
    <w:rsid w:val="00445213"/>
    <w:rsid w:val="00460EFB"/>
    <w:rsid w:val="0047125A"/>
    <w:rsid w:val="0047381D"/>
    <w:rsid w:val="00481371"/>
    <w:rsid w:val="004915D6"/>
    <w:rsid w:val="004B4C13"/>
    <w:rsid w:val="004C6FA2"/>
    <w:rsid w:val="004E2984"/>
    <w:rsid w:val="004E66EB"/>
    <w:rsid w:val="004E784A"/>
    <w:rsid w:val="004F50E8"/>
    <w:rsid w:val="004F7D04"/>
    <w:rsid w:val="005202A9"/>
    <w:rsid w:val="00522555"/>
    <w:rsid w:val="005225D5"/>
    <w:rsid w:val="005236D6"/>
    <w:rsid w:val="005312F6"/>
    <w:rsid w:val="005825A2"/>
    <w:rsid w:val="00591757"/>
    <w:rsid w:val="00592F8D"/>
    <w:rsid w:val="005A4097"/>
    <w:rsid w:val="005A7A9E"/>
    <w:rsid w:val="005B73B8"/>
    <w:rsid w:val="005C22DE"/>
    <w:rsid w:val="005C4DE5"/>
    <w:rsid w:val="005C670E"/>
    <w:rsid w:val="005C7169"/>
    <w:rsid w:val="005E4072"/>
    <w:rsid w:val="00627EB0"/>
    <w:rsid w:val="006404CE"/>
    <w:rsid w:val="00643A7A"/>
    <w:rsid w:val="00661741"/>
    <w:rsid w:val="00661A54"/>
    <w:rsid w:val="00662171"/>
    <w:rsid w:val="00667E2B"/>
    <w:rsid w:val="00671742"/>
    <w:rsid w:val="0067785B"/>
    <w:rsid w:val="00690925"/>
    <w:rsid w:val="006951F6"/>
    <w:rsid w:val="00696F44"/>
    <w:rsid w:val="0069744C"/>
    <w:rsid w:val="006A2192"/>
    <w:rsid w:val="006A5D1E"/>
    <w:rsid w:val="006A75A0"/>
    <w:rsid w:val="006B019D"/>
    <w:rsid w:val="006C1264"/>
    <w:rsid w:val="006C7C77"/>
    <w:rsid w:val="006D3043"/>
    <w:rsid w:val="006E201B"/>
    <w:rsid w:val="006E4783"/>
    <w:rsid w:val="006F1FD0"/>
    <w:rsid w:val="006F4BCA"/>
    <w:rsid w:val="007067D8"/>
    <w:rsid w:val="007100E9"/>
    <w:rsid w:val="00712D22"/>
    <w:rsid w:val="007328F4"/>
    <w:rsid w:val="0073635E"/>
    <w:rsid w:val="00746074"/>
    <w:rsid w:val="00752F15"/>
    <w:rsid w:val="00762C1D"/>
    <w:rsid w:val="00765B61"/>
    <w:rsid w:val="0077037F"/>
    <w:rsid w:val="00771506"/>
    <w:rsid w:val="00777516"/>
    <w:rsid w:val="007840E4"/>
    <w:rsid w:val="007B5118"/>
    <w:rsid w:val="007C56FC"/>
    <w:rsid w:val="007D5AE7"/>
    <w:rsid w:val="007F5BA8"/>
    <w:rsid w:val="007F5BAF"/>
    <w:rsid w:val="008118FD"/>
    <w:rsid w:val="00824A64"/>
    <w:rsid w:val="00833D67"/>
    <w:rsid w:val="00854A10"/>
    <w:rsid w:val="00861567"/>
    <w:rsid w:val="00867417"/>
    <w:rsid w:val="0087359A"/>
    <w:rsid w:val="00885662"/>
    <w:rsid w:val="00890F84"/>
    <w:rsid w:val="008A0FA5"/>
    <w:rsid w:val="008A417C"/>
    <w:rsid w:val="008B0412"/>
    <w:rsid w:val="008B50D5"/>
    <w:rsid w:val="008C0F63"/>
    <w:rsid w:val="00903C32"/>
    <w:rsid w:val="009170A8"/>
    <w:rsid w:val="009233FF"/>
    <w:rsid w:val="00927EAC"/>
    <w:rsid w:val="00934D7A"/>
    <w:rsid w:val="00936E9C"/>
    <w:rsid w:val="00953C3F"/>
    <w:rsid w:val="009637B8"/>
    <w:rsid w:val="00974FEA"/>
    <w:rsid w:val="00980387"/>
    <w:rsid w:val="009862AA"/>
    <w:rsid w:val="00990ABE"/>
    <w:rsid w:val="009927C8"/>
    <w:rsid w:val="009965AB"/>
    <w:rsid w:val="009A4834"/>
    <w:rsid w:val="009A4F5B"/>
    <w:rsid w:val="009A6322"/>
    <w:rsid w:val="009C2B87"/>
    <w:rsid w:val="009C3056"/>
    <w:rsid w:val="009C3DAC"/>
    <w:rsid w:val="009D0598"/>
    <w:rsid w:val="009F1150"/>
    <w:rsid w:val="009F1258"/>
    <w:rsid w:val="009F6ADB"/>
    <w:rsid w:val="00A066DC"/>
    <w:rsid w:val="00A21F38"/>
    <w:rsid w:val="00A3309C"/>
    <w:rsid w:val="00A33511"/>
    <w:rsid w:val="00A344A0"/>
    <w:rsid w:val="00A561B5"/>
    <w:rsid w:val="00A62700"/>
    <w:rsid w:val="00A86C1B"/>
    <w:rsid w:val="00A93CEA"/>
    <w:rsid w:val="00A95F21"/>
    <w:rsid w:val="00AB23AC"/>
    <w:rsid w:val="00AB50E2"/>
    <w:rsid w:val="00AD128E"/>
    <w:rsid w:val="00AE297B"/>
    <w:rsid w:val="00AE61CC"/>
    <w:rsid w:val="00AE7A80"/>
    <w:rsid w:val="00AF347B"/>
    <w:rsid w:val="00AF5642"/>
    <w:rsid w:val="00B11709"/>
    <w:rsid w:val="00B13D63"/>
    <w:rsid w:val="00B21DF1"/>
    <w:rsid w:val="00B24081"/>
    <w:rsid w:val="00B26CAB"/>
    <w:rsid w:val="00B34549"/>
    <w:rsid w:val="00B4255A"/>
    <w:rsid w:val="00B52B75"/>
    <w:rsid w:val="00B542F5"/>
    <w:rsid w:val="00B574AB"/>
    <w:rsid w:val="00B574D2"/>
    <w:rsid w:val="00B67D37"/>
    <w:rsid w:val="00B71536"/>
    <w:rsid w:val="00B72873"/>
    <w:rsid w:val="00B828F4"/>
    <w:rsid w:val="00B90556"/>
    <w:rsid w:val="00B90BCB"/>
    <w:rsid w:val="00B95C9B"/>
    <w:rsid w:val="00BA45A4"/>
    <w:rsid w:val="00BA5B25"/>
    <w:rsid w:val="00BA7564"/>
    <w:rsid w:val="00BB3E4B"/>
    <w:rsid w:val="00BB6782"/>
    <w:rsid w:val="00BC025E"/>
    <w:rsid w:val="00BC1D2B"/>
    <w:rsid w:val="00BE5E1E"/>
    <w:rsid w:val="00BF4B3A"/>
    <w:rsid w:val="00BF6A25"/>
    <w:rsid w:val="00C01C97"/>
    <w:rsid w:val="00C03233"/>
    <w:rsid w:val="00C1461C"/>
    <w:rsid w:val="00C21DAF"/>
    <w:rsid w:val="00C248CE"/>
    <w:rsid w:val="00C26554"/>
    <w:rsid w:val="00C40D82"/>
    <w:rsid w:val="00C448FC"/>
    <w:rsid w:val="00C545C7"/>
    <w:rsid w:val="00C57595"/>
    <w:rsid w:val="00C63BA7"/>
    <w:rsid w:val="00C74035"/>
    <w:rsid w:val="00C84201"/>
    <w:rsid w:val="00C92493"/>
    <w:rsid w:val="00C94DA1"/>
    <w:rsid w:val="00CA32DD"/>
    <w:rsid w:val="00CD1DF7"/>
    <w:rsid w:val="00CD4661"/>
    <w:rsid w:val="00CE4562"/>
    <w:rsid w:val="00CE6316"/>
    <w:rsid w:val="00CE6FD2"/>
    <w:rsid w:val="00D37FEC"/>
    <w:rsid w:val="00D601F7"/>
    <w:rsid w:val="00D65EEF"/>
    <w:rsid w:val="00D67E57"/>
    <w:rsid w:val="00D71F11"/>
    <w:rsid w:val="00D73C7C"/>
    <w:rsid w:val="00D808BE"/>
    <w:rsid w:val="00D90519"/>
    <w:rsid w:val="00DA60C0"/>
    <w:rsid w:val="00DB1222"/>
    <w:rsid w:val="00DB348F"/>
    <w:rsid w:val="00DE23D0"/>
    <w:rsid w:val="00DF2B42"/>
    <w:rsid w:val="00E06306"/>
    <w:rsid w:val="00E117CD"/>
    <w:rsid w:val="00E12B7C"/>
    <w:rsid w:val="00E15EAB"/>
    <w:rsid w:val="00E252DF"/>
    <w:rsid w:val="00E34C55"/>
    <w:rsid w:val="00E35AB0"/>
    <w:rsid w:val="00E43601"/>
    <w:rsid w:val="00E4446A"/>
    <w:rsid w:val="00E44C90"/>
    <w:rsid w:val="00E45D5F"/>
    <w:rsid w:val="00E515D7"/>
    <w:rsid w:val="00E535D9"/>
    <w:rsid w:val="00E55CA9"/>
    <w:rsid w:val="00E666DA"/>
    <w:rsid w:val="00E667A2"/>
    <w:rsid w:val="00E75683"/>
    <w:rsid w:val="00E76041"/>
    <w:rsid w:val="00E81BD4"/>
    <w:rsid w:val="00E84ACD"/>
    <w:rsid w:val="00E86BE9"/>
    <w:rsid w:val="00EA4E0B"/>
    <w:rsid w:val="00EA5F22"/>
    <w:rsid w:val="00EB2787"/>
    <w:rsid w:val="00EC3171"/>
    <w:rsid w:val="00EC6AE1"/>
    <w:rsid w:val="00EC73EB"/>
    <w:rsid w:val="00EE26BC"/>
    <w:rsid w:val="00EE572E"/>
    <w:rsid w:val="00EE59B3"/>
    <w:rsid w:val="00EF45B7"/>
    <w:rsid w:val="00EF5B3B"/>
    <w:rsid w:val="00F0063B"/>
    <w:rsid w:val="00F04FC4"/>
    <w:rsid w:val="00F266D4"/>
    <w:rsid w:val="00F321B4"/>
    <w:rsid w:val="00F40DA3"/>
    <w:rsid w:val="00F44376"/>
    <w:rsid w:val="00F5724F"/>
    <w:rsid w:val="00F642A0"/>
    <w:rsid w:val="00F70D9F"/>
    <w:rsid w:val="00F723AA"/>
    <w:rsid w:val="00F824A1"/>
    <w:rsid w:val="00F83201"/>
    <w:rsid w:val="00F845A1"/>
    <w:rsid w:val="00FA4441"/>
    <w:rsid w:val="00FB0DAC"/>
    <w:rsid w:val="00FB108C"/>
    <w:rsid w:val="00FC1718"/>
    <w:rsid w:val="00FC4882"/>
    <w:rsid w:val="00FC7C4C"/>
    <w:rsid w:val="00FD5D02"/>
    <w:rsid w:val="00FE2582"/>
    <w:rsid w:val="00FE3AB2"/>
    <w:rsid w:val="00FE6B48"/>
    <w:rsid w:val="00FE75FD"/>
    <w:rsid w:val="00FF5CCF"/>
    <w:rsid w:val="00FF6E67"/>
    <w:rsid w:val="2A5088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225CF"/>
  <w15:chartTrackingRefBased/>
  <w15:docId w15:val="{F9F3A255-11BD-4716-B86A-8366FEE0A2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w:cs="Times New Roman"/>
        <w:kern w:val="2"/>
        <w:sz w:val="21"/>
        <w:szCs w:val="21"/>
        <w:lang w:val="en-GB" w:eastAsia="en-GB" w:bidi="ar-SA"/>
        <w14:ligatures w14:val="standardContextual"/>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uiPriority="0" w:semiHidden="1" w:unhideWhenUsed="1" w:qFormat="1"/>
    <w:lsdException w:name="heading 3" w:uiPriority="0" w:semiHidden="1" w:unhideWhenUsed="1" w:qFormat="1"/>
    <w:lsdException w:name="heading 4" w:uiPriority="0" w:semiHidden="1" w:unhideWhenUsed="1"/>
    <w:lsdException w:name="heading 5" w:uiPriority="0" w:semiHidden="1" w:unhideWhenUsed="1"/>
    <w:lsdException w:name="heading 6" w:uiPriority="9" w:semiHidden="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5EEF"/>
    <w:pPr>
      <w:spacing w:before="120" w:after="0" w:line="228" w:lineRule="auto"/>
    </w:p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paragraph" w:styleId="Heading6">
    <w:name w:val="heading 6"/>
    <w:basedOn w:val="Normal"/>
    <w:next w:val="Normal"/>
    <w:link w:val="Heading6Char"/>
    <w:uiPriority w:val="9"/>
    <w:semiHidden/>
    <w:rsid w:val="00CE6316"/>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316"/>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316"/>
    <w:pPr>
      <w:keepNext/>
      <w:keepLines/>
      <w:spacing w:before="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316"/>
    <w:pPr>
      <w:keepNext/>
      <w:keepLines/>
      <w:spacing w:before="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qFormat/>
    <w:rsid w:val="000E7EF3"/>
    <w:pPr>
      <w:numPr>
        <w:numId w:val="3"/>
      </w:numPr>
      <w:tabs>
        <w:tab w:val="left" w:pos="1701"/>
      </w:tabs>
    </w:pPr>
  </w:style>
  <w:style w:type="numbering" w:styleId="ListNumbers" w:customStyle="1">
    <w:name w:val="ListNumbers"/>
    <w:uiPriority w:val="99"/>
    <w:rsid w:val="005236D6"/>
    <w:pPr>
      <w:numPr>
        <w:numId w:val="4"/>
      </w:numPr>
    </w:pPr>
  </w:style>
  <w:style w:type="character" w:styleId="FooterChar" w:customStyle="1">
    <w:name w:val="Footer Char"/>
    <w:link w:val="Footer"/>
    <w:rsid w:val="005236D6"/>
    <w:rPr>
      <w:rFonts w:ascii="Arial" w:hAnsi="Arial" w:cs="Arial"/>
      <w:sz w:val="14"/>
      <w:szCs w:val="21"/>
    </w:rPr>
  </w:style>
  <w:style w:type="character" w:styleId="Heading1Char" w:customStyle="1">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styleId="Heading2Char" w:customStyle="1">
    <w:name w:val="Heading 2 Char"/>
    <w:link w:val="Heading2"/>
    <w:rsid w:val="005236D6"/>
    <w:rPr>
      <w:rFonts w:ascii="Arial" w:hAnsi="Arial" w:cs="Arial"/>
      <w:b/>
      <w:kern w:val="32"/>
      <w:sz w:val="32"/>
      <w:lang w:eastAsia="en-US"/>
    </w:rPr>
  </w:style>
  <w:style w:type="paragraph" w:styleId="Heading3numbered" w:customStyle="1">
    <w:name w:val="Heading 3 numbered"/>
    <w:basedOn w:val="Heading3"/>
    <w:next w:val="Normal"/>
    <w:rsid w:val="005236D6"/>
    <w:pPr>
      <w:numPr>
        <w:ilvl w:val="2"/>
        <w:numId w:val="1"/>
      </w:numPr>
      <w:tabs>
        <w:tab w:val="clear" w:pos="567"/>
      </w:tabs>
    </w:pPr>
  </w:style>
  <w:style w:type="paragraph" w:styleId="Heading4numbered" w:customStyle="1">
    <w:name w:val="Heading 4 numbered"/>
    <w:basedOn w:val="Heading4"/>
    <w:next w:val="Normal"/>
    <w:rsid w:val="005236D6"/>
    <w:pPr>
      <w:numPr>
        <w:ilvl w:val="3"/>
        <w:numId w:val="1"/>
      </w:numPr>
      <w:tabs>
        <w:tab w:val="clear" w:pos="567"/>
      </w:tabs>
    </w:pPr>
  </w:style>
  <w:style w:type="paragraph" w:styleId="Heading5numbered" w:customStyle="1">
    <w:name w:val="Heading 5 numbered"/>
    <w:basedOn w:val="Heading5"/>
    <w:next w:val="Normal"/>
    <w:rsid w:val="005236D6"/>
    <w:pPr>
      <w:numPr>
        <w:ilvl w:val="4"/>
        <w:numId w:val="1"/>
      </w:numPr>
      <w:tabs>
        <w:tab w:val="clear" w:pos="567"/>
        <w:tab w:val="left" w:pos="1134"/>
      </w:tabs>
    </w:pPr>
  </w:style>
  <w:style w:type="character" w:styleId="Heading3Char" w:customStyle="1">
    <w:name w:val="Heading 3 Char"/>
    <w:link w:val="Heading3"/>
    <w:rsid w:val="005236D6"/>
    <w:rPr>
      <w:rFonts w:ascii="Arial" w:hAnsi="Arial" w:cs="Arial"/>
      <w:b/>
      <w:kern w:val="32"/>
      <w:sz w:val="28"/>
      <w:lang w:eastAsia="en-US"/>
    </w:rPr>
  </w:style>
  <w:style w:type="character" w:styleId="Heading4Char" w:customStyle="1">
    <w:name w:val="Heading 4 Char"/>
    <w:link w:val="Heading4"/>
    <w:rsid w:val="005236D6"/>
    <w:rPr>
      <w:rFonts w:ascii="Arial" w:hAnsi="Arial" w:cs="Arial"/>
      <w:b/>
      <w:kern w:val="32"/>
      <w:sz w:val="24"/>
      <w:lang w:eastAsia="en-US"/>
    </w:rPr>
  </w:style>
  <w:style w:type="character" w:styleId="Heading5Char" w:customStyle="1">
    <w:name w:val="Heading 5 Char"/>
    <w:link w:val="Heading5"/>
    <w:rsid w:val="005236D6"/>
    <w:rPr>
      <w:rFonts w:ascii="Arial" w:hAnsi="Arial" w:cs="Arial"/>
      <w:b/>
      <w:kern w:val="32"/>
      <w:sz w:val="21"/>
      <w:lang w:eastAsia="en-US"/>
    </w:rPr>
  </w:style>
  <w:style w:type="paragraph" w:styleId="Normalindented" w:customStyle="1">
    <w:name w:val="Normal indented"/>
    <w:basedOn w:val="Normal"/>
    <w:rsid w:val="005236D6"/>
    <w:pPr>
      <w:ind w:left="340"/>
    </w:pPr>
  </w:style>
  <w:style w:type="numbering" w:styleId="Headings" w:customStyle="1">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pPr>
  </w:style>
  <w:style w:type="paragraph" w:styleId="ListBullet3">
    <w:name w:val="List Bullet 3"/>
    <w:basedOn w:val="Normal"/>
    <w:uiPriority w:val="99"/>
    <w:semiHidden/>
    <w:rsid w:val="000E7EF3"/>
    <w:pPr>
      <w:numPr>
        <w:ilvl w:val="2"/>
        <w:numId w:val="3"/>
      </w:numPr>
      <w:tabs>
        <w:tab w:val="left" w:pos="1021"/>
      </w:tabs>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styleId="ListBullets" w:customStyle="1">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pPr>
  </w:style>
  <w:style w:type="paragraph" w:styleId="ListNumber2">
    <w:name w:val="List Number 2"/>
    <w:basedOn w:val="Normal"/>
    <w:uiPriority w:val="99"/>
    <w:semiHidden/>
    <w:rsid w:val="000E7EF3"/>
    <w:pPr>
      <w:numPr>
        <w:ilvl w:val="1"/>
        <w:numId w:val="2"/>
      </w:numPr>
      <w:tabs>
        <w:tab w:val="left" w:pos="680"/>
        <w:tab w:val="left" w:pos="1021"/>
      </w:tabs>
    </w:pPr>
  </w:style>
  <w:style w:type="paragraph" w:styleId="ListNumber3">
    <w:name w:val="List Number 3"/>
    <w:basedOn w:val="Normal"/>
    <w:uiPriority w:val="99"/>
    <w:semiHidden/>
    <w:rsid w:val="000E7EF3"/>
    <w:pPr>
      <w:numPr>
        <w:ilvl w:val="2"/>
        <w:numId w:val="2"/>
      </w:numPr>
      <w:tabs>
        <w:tab w:val="left" w:pos="1021"/>
        <w:tab w:val="left" w:pos="1361"/>
      </w:tabs>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styleId="Normalnumberedparas" w:customStyle="1">
    <w:name w:val="Normal numbered paras"/>
    <w:basedOn w:val="NormalIndent"/>
    <w:qFormat/>
    <w:rsid w:val="005312F6"/>
    <w:pPr>
      <w:tabs>
        <w:tab w:val="left" w:pos="454"/>
      </w:tabs>
      <w:spacing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styleId="HeaderChar" w:customStyle="1">
    <w:name w:val="Header Char"/>
    <w:basedOn w:val="DefaultParagraphFont"/>
    <w:link w:val="Header"/>
    <w:uiPriority w:val="99"/>
    <w:rsid w:val="005236D6"/>
    <w:rPr>
      <w:rFonts w:ascii="Arial" w:hAnsi="Arial" w:cs="Arial"/>
      <w:sz w:val="21"/>
      <w:szCs w:val="21"/>
    </w:rPr>
  </w:style>
  <w:style w:type="paragraph" w:styleId="Headingultralarge" w:customStyle="1">
    <w:name w:val="Heading ultra large"/>
    <w:basedOn w:val="Normal"/>
    <w:qFormat/>
    <w:rsid w:val="005236D6"/>
    <w:pPr>
      <w:spacing w:after="180"/>
    </w:pPr>
    <w:rPr>
      <w:sz w:val="48"/>
      <w:szCs w:val="48"/>
    </w:rPr>
  </w:style>
  <w:style w:type="character" w:styleId="Hyperlink">
    <w:name w:val="Hyperlink"/>
    <w:basedOn w:val="DefaultParagraphFont"/>
    <w:uiPriority w:val="99"/>
    <w:unhideWhenUsed/>
    <w:rsid w:val="00C248CE"/>
    <w:rPr>
      <w:color w:val="078375" w:themeColor="accent4"/>
      <w:u w:val="single"/>
    </w:rPr>
  </w:style>
  <w:style w:type="paragraph" w:styleId="largeprint" w:customStyle="1">
    <w:name w:val="largeprint"/>
    <w:basedOn w:val="Normal"/>
    <w:qFormat/>
    <w:rsid w:val="005236D6"/>
    <w:pPr>
      <w:spacing w:before="240" w:line="400" w:lineRule="exact"/>
    </w:pPr>
    <w:rPr>
      <w:sz w:val="28"/>
    </w:rPr>
  </w:style>
  <w:style w:type="paragraph" w:styleId="letter-date" w:customStyle="1">
    <w:name w:val="letter-date"/>
    <w:basedOn w:val="Normal"/>
    <w:qFormat/>
    <w:rsid w:val="005236D6"/>
    <w:pPr>
      <w:spacing w:before="140"/>
    </w:pPr>
  </w:style>
  <w:style w:type="paragraph" w:styleId="letter-reference" w:customStyle="1">
    <w:name w:val="letter-reference"/>
    <w:basedOn w:val="Normal"/>
    <w:qFormat/>
    <w:rsid w:val="005236D6"/>
    <w:pPr>
      <w:spacing w:before="460"/>
    </w:pPr>
  </w:style>
  <w:style w:type="paragraph" w:styleId="letter-salutation" w:customStyle="1">
    <w:name w:val="letter-salutation"/>
    <w:basedOn w:val="Normal"/>
    <w:qFormat/>
    <w:rsid w:val="005236D6"/>
    <w:pPr>
      <w:tabs>
        <w:tab w:val="left" w:pos="3721"/>
      </w:tabs>
      <w:spacing w:before="480"/>
    </w:pPr>
  </w:style>
  <w:style w:type="paragraph" w:styleId="Normalnospaceafterorbefore" w:customStyle="1">
    <w:name w:val="Normal no space after or before"/>
    <w:basedOn w:val="Normal"/>
    <w:rsid w:val="005236D6"/>
    <w:pPr>
      <w:spacing w:before="0"/>
    </w:pPr>
  </w:style>
  <w:style w:type="paragraph" w:styleId="letter-signoff-contact-details" w:customStyle="1">
    <w:name w:val="letter-signoff-contact-details"/>
    <w:basedOn w:val="Normalnospaceafterorbefore"/>
    <w:qFormat/>
    <w:rsid w:val="005236D6"/>
  </w:style>
  <w:style w:type="paragraph" w:styleId="letter-signoff-email" w:customStyle="1">
    <w:name w:val="letter-signoff-email"/>
    <w:basedOn w:val="Normal"/>
    <w:qFormat/>
    <w:rsid w:val="005236D6"/>
    <w:pPr>
      <w:spacing w:before="0" w:after="180"/>
    </w:pPr>
  </w:style>
  <w:style w:type="paragraph" w:styleId="letter-signoff-job-title" w:customStyle="1">
    <w:name w:val="letter-signoff-job-title"/>
    <w:basedOn w:val="Normal"/>
    <w:qFormat/>
    <w:rsid w:val="005236D6"/>
    <w:pPr>
      <w:spacing w:before="0" w:after="180"/>
    </w:pPr>
  </w:style>
  <w:style w:type="paragraph" w:styleId="letter-signoff-name" w:customStyle="1">
    <w:name w:val="letter-signoff-name"/>
    <w:basedOn w:val="Normalnospaceafterorbefore"/>
    <w:qFormat/>
    <w:rsid w:val="005236D6"/>
    <w:pPr>
      <w:spacing w:before="1000"/>
    </w:pPr>
  </w:style>
  <w:style w:type="paragraph" w:styleId="letter-subject-line" w:customStyle="1">
    <w:name w:val="letter-subject-line"/>
    <w:basedOn w:val="Normal"/>
    <w:qFormat/>
    <w:rsid w:val="005236D6"/>
    <w:rPr>
      <w:b/>
    </w:rPr>
  </w:style>
  <w:style w:type="paragraph" w:styleId="ListNumbered" w:customStyle="1">
    <w:name w:val="List Numbered"/>
    <w:basedOn w:val="Normal"/>
    <w:semiHidden/>
    <w:qFormat/>
    <w:rsid w:val="005236D6"/>
    <w:pPr>
      <w:spacing w:before="20" w:after="20"/>
      <w:ind w:left="360" w:hanging="360"/>
    </w:pPr>
  </w:style>
  <w:style w:type="paragraph" w:styleId="Normalnumberedparas1" w:customStyle="1">
    <w:name w:val="Normal numbered paras 1"/>
    <w:basedOn w:val="NormalIndent"/>
    <w:qFormat/>
    <w:rsid w:val="005236D6"/>
    <w:pPr>
      <w:numPr>
        <w:numId w:val="5"/>
      </w:numPr>
      <w:tabs>
        <w:tab w:val="left" w:pos="454"/>
      </w:tabs>
    </w:pPr>
  </w:style>
  <w:style w:type="paragraph" w:styleId="Normalnumberedparasa" w:customStyle="1">
    <w:name w:val="Normal numbered paras a)"/>
    <w:basedOn w:val="Normalnumberedparas1"/>
    <w:qFormat/>
    <w:rsid w:val="005236D6"/>
    <w:pPr>
      <w:numPr>
        <w:numId w:val="6"/>
      </w:numPr>
      <w:tabs>
        <w:tab w:val="clear" w:pos="454"/>
        <w:tab w:val="left" w:pos="340"/>
      </w:tabs>
    </w:pPr>
  </w:style>
  <w:style w:type="paragraph" w:styleId="Prospectaddress" w:customStyle="1">
    <w:name w:val="Prospect address"/>
    <w:basedOn w:val="Footer"/>
    <w:qFormat/>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5236D6"/>
    <w:pPr>
      <w:spacing w:after="0" w:line="240" w:lineRule="auto"/>
    </w:pPr>
    <w:rPr>
      <w:rFonts w:cs="Arial"/>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tabletext" w:customStyle="1">
    <w:name w:val="Normal table text"/>
    <w:basedOn w:val="Normal"/>
    <w:rsid w:val="000E7EF3"/>
    <w:pPr>
      <w:spacing w:before="60" w:after="60"/>
    </w:pPr>
    <w:rPr>
      <w:lang w:eastAsia="en-US"/>
    </w:rPr>
  </w:style>
  <w:style w:type="character" w:styleId="Heading6Char" w:customStyle="1">
    <w:name w:val="Heading 6 Char"/>
    <w:basedOn w:val="DefaultParagraphFont"/>
    <w:link w:val="Heading6"/>
    <w:uiPriority w:val="9"/>
    <w:semiHidden/>
    <w:rsid w:val="00CE6316"/>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E6316"/>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E6316"/>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E6316"/>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rsid w:val="00CE6316"/>
    <w:pPr>
      <w:spacing w:before="0"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E631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rsid w:val="00CE6316"/>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E6316"/>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CE6316"/>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CE6316"/>
    <w:rPr>
      <w:i/>
      <w:iCs/>
      <w:color w:val="404040" w:themeColor="text1" w:themeTint="BF"/>
    </w:rPr>
  </w:style>
  <w:style w:type="character" w:styleId="IntenseEmphasis">
    <w:name w:val="Intense Emphasis"/>
    <w:basedOn w:val="DefaultParagraphFont"/>
    <w:uiPriority w:val="21"/>
    <w:rsid w:val="00CE6316"/>
    <w:rPr>
      <w:i/>
      <w:iCs/>
      <w:color w:val="9D0054" w:themeColor="accent1" w:themeShade="BF"/>
    </w:rPr>
  </w:style>
  <w:style w:type="paragraph" w:styleId="IntenseQuote">
    <w:name w:val="Intense Quote"/>
    <w:basedOn w:val="Normal"/>
    <w:next w:val="Normal"/>
    <w:link w:val="IntenseQuoteChar"/>
    <w:uiPriority w:val="30"/>
    <w:rsid w:val="00CE6316"/>
    <w:pPr>
      <w:pBdr>
        <w:top w:val="single" w:color="9D0054" w:themeColor="accent1" w:themeShade="BF" w:sz="4" w:space="10"/>
        <w:bottom w:val="single" w:color="9D0054" w:themeColor="accent1" w:themeShade="BF" w:sz="4" w:space="10"/>
      </w:pBdr>
      <w:spacing w:before="360" w:after="360"/>
      <w:ind w:left="864" w:right="864"/>
      <w:jc w:val="center"/>
    </w:pPr>
    <w:rPr>
      <w:i/>
      <w:iCs/>
      <w:color w:val="9D0054" w:themeColor="accent1" w:themeShade="BF"/>
    </w:rPr>
  </w:style>
  <w:style w:type="character" w:styleId="IntenseQuoteChar" w:customStyle="1">
    <w:name w:val="Intense Quote Char"/>
    <w:basedOn w:val="DefaultParagraphFont"/>
    <w:link w:val="IntenseQuote"/>
    <w:uiPriority w:val="30"/>
    <w:rsid w:val="00CE6316"/>
    <w:rPr>
      <w:i/>
      <w:iCs/>
      <w:color w:val="9D0054" w:themeColor="accent1" w:themeShade="BF"/>
    </w:rPr>
  </w:style>
  <w:style w:type="character" w:styleId="IntenseReference">
    <w:name w:val="Intense Reference"/>
    <w:basedOn w:val="DefaultParagraphFont"/>
    <w:uiPriority w:val="32"/>
    <w:rsid w:val="00CE6316"/>
    <w:rPr>
      <w:b/>
      <w:bCs/>
      <w:smallCaps/>
      <w:color w:val="9D0054" w:themeColor="accent1" w:themeShade="BF"/>
      <w:spacing w:val="5"/>
    </w:rPr>
  </w:style>
  <w:style w:type="paragraph" w:styleId="Quote2025" w:customStyle="1">
    <w:name w:val="Quote 2025"/>
    <w:basedOn w:val="Normal"/>
    <w:qFormat/>
    <w:rsid w:val="00127AFC"/>
    <w:pPr>
      <w:spacing w:before="0"/>
      <w:ind w:left="1440" w:right="987"/>
    </w:pPr>
    <w:rPr>
      <w:rFonts w:cs="Arial"/>
      <w:i/>
      <w:iCs/>
      <w:sz w:val="20"/>
      <w:szCs w:val="20"/>
    </w:rPr>
  </w:style>
  <w:style w:type="paragraph" w:styleId="Quoteauthor2025" w:customStyle="1">
    <w:name w:val="Quote author 2025"/>
    <w:basedOn w:val="Normal"/>
    <w:qFormat/>
    <w:rsid w:val="00127AFC"/>
    <w:pPr>
      <w:spacing w:before="80" w:after="180"/>
      <w:ind w:left="1440" w:right="987"/>
    </w:pPr>
    <w:rPr>
      <w:rFonts w:cs="Arial"/>
      <w:b/>
      <w:bCs/>
      <w:i/>
      <w:iCs/>
      <w:sz w:val="20"/>
      <w:szCs w:val="20"/>
    </w:rPr>
  </w:style>
  <w:style w:type="paragraph" w:styleId="BriefingheadingWOC" w:customStyle="1">
    <w:name w:val="Briefing heading WOC"/>
    <w:basedOn w:val="Headingultralarge"/>
    <w:qFormat/>
    <w:rsid w:val="00B71536"/>
    <w:pPr>
      <w:ind w:left="1560" w:right="1232"/>
    </w:pPr>
    <w:rPr>
      <w:b/>
      <w:bCs/>
      <w:color w:val="FFFFFF" w:themeColor="background1"/>
      <w:sz w:val="56"/>
      <w:szCs w:val="56"/>
    </w:rPr>
  </w:style>
  <w:style w:type="paragraph" w:styleId="TOCHeading">
    <w:name w:val="TOC Heading"/>
    <w:basedOn w:val="Heading1"/>
    <w:next w:val="Normal"/>
    <w:uiPriority w:val="39"/>
    <w:semiHidden/>
    <w:unhideWhenUsed/>
    <w:qFormat/>
    <w:rsid w:val="00396D1F"/>
    <w:pPr>
      <w:keepLines/>
      <w:numPr>
        <w:numId w:val="0"/>
      </w:numPr>
      <w:spacing w:before="240" w:after="0"/>
      <w:outlineLvl w:val="9"/>
    </w:pPr>
    <w:rPr>
      <w:rFonts w:eastAsiaTheme="majorEastAsia" w:cstheme="majorBidi"/>
      <w:color w:val="000000" w:themeColor="text1"/>
      <w:kern w:val="0"/>
      <w:sz w:val="32"/>
      <w:szCs w:val="32"/>
      <w:lang w:eastAsia="en-GB"/>
      <w14:ligatures w14:val="none"/>
    </w:rPr>
  </w:style>
  <w:style w:type="paragraph" w:styleId="Referencebackheading" w:customStyle="1">
    <w:name w:val="Reference back heading"/>
    <w:basedOn w:val="Heading3"/>
    <w:link w:val="ReferencebackheadingChar"/>
    <w:qFormat/>
    <w:rsid w:val="00E43601"/>
    <w:pPr>
      <w:pBdr>
        <w:top w:val="single" w:color="auto" w:sz="4" w:space="12"/>
      </w:pBdr>
      <w:spacing w:before="320"/>
    </w:pPr>
  </w:style>
  <w:style w:type="character" w:styleId="ReferencebackheadingChar" w:customStyle="1">
    <w:name w:val="Reference back heading Char"/>
    <w:basedOn w:val="Heading3Char"/>
    <w:link w:val="Referencebackheading"/>
    <w:rsid w:val="00E43601"/>
    <w:rPr>
      <w:rFonts w:ascii="Arial" w:hAnsi="Arial" w:cs="Arial"/>
      <w:b/>
      <w:kern w:val="32"/>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Prospect">
      <a:dk1>
        <a:srgbClr val="000000"/>
      </a:dk1>
      <a:lt1>
        <a:srgbClr val="FFFFFF"/>
      </a:lt1>
      <a:dk2>
        <a:srgbClr val="000000"/>
      </a:dk2>
      <a:lt2>
        <a:srgbClr val="EBEBEB"/>
      </a:lt2>
      <a:accent1>
        <a:srgbClr val="D20071"/>
      </a:accent1>
      <a:accent2>
        <a:srgbClr val="F1861C"/>
      </a:accent2>
      <a:accent3>
        <a:srgbClr val="FFCD00"/>
      </a:accent3>
      <a:accent4>
        <a:srgbClr val="078375"/>
      </a:accent4>
      <a:accent5>
        <a:srgbClr val="009D66"/>
      </a:accent5>
      <a:accent6>
        <a:srgbClr val="F299C1"/>
      </a:accent6>
      <a:hlink>
        <a:srgbClr val="FA9C39"/>
      </a:hlink>
      <a:folHlink>
        <a:srgbClr val="D20071"/>
      </a:folHlink>
    </a:clrScheme>
    <a:fontScheme name="Prospec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431BB8B2100448B2E36A9A1F81FD3C" ma:contentTypeVersion="11" ma:contentTypeDescription="Create a new document." ma:contentTypeScope="" ma:versionID="c373b5ded73e131962fad4e37285ef43">
  <xsd:schema xmlns:xsd="http://www.w3.org/2001/XMLSchema" xmlns:xs="http://www.w3.org/2001/XMLSchema" xmlns:p="http://schemas.microsoft.com/office/2006/metadata/properties" xmlns:ns2="a143c7ab-4f0b-44d8-a0fa-750085792bd4" xmlns:ns3="8b4a19b0-63fa-4fd6-95d8-eba79f21f341" targetNamespace="http://schemas.microsoft.com/office/2006/metadata/properties" ma:root="true" ma:fieldsID="d0884ae0085c25b041f7e0cd0ac53839" ns2:_="" ns3:_="">
    <xsd:import namespace="a143c7ab-4f0b-44d8-a0fa-750085792bd4"/>
    <xsd:import namespace="8b4a19b0-63fa-4fd6-95d8-eba79f21f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3c7ab-4f0b-44d8-a0fa-750085792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a19b0-63fa-4fd6-95d8-eba79f21f3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ff5950-9657-43a2-966d-1844b149d949}" ma:internalName="TaxCatchAll" ma:showField="CatchAllData" ma:web="8b4a19b0-63fa-4fd6-95d8-eba79f21f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4a19b0-63fa-4fd6-95d8-eba79f21f341" xsi:nil="true"/>
    <lcf76f155ced4ddcb4097134ff3c332f xmlns="a143c7ab-4f0b-44d8-a0fa-750085792b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1541C-34FC-4E47-A40B-1BC022BB5918}">
  <ds:schemaRefs>
    <ds:schemaRef ds:uri="http://schemas.microsoft.com/sharepoint/v3/contenttype/forms"/>
  </ds:schemaRefs>
</ds:datastoreItem>
</file>

<file path=customXml/itemProps2.xml><?xml version="1.0" encoding="utf-8"?>
<ds:datastoreItem xmlns:ds="http://schemas.openxmlformats.org/officeDocument/2006/customXml" ds:itemID="{87DFED82-2C31-46F0-AE80-04D420CE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3c7ab-4f0b-44d8-a0fa-750085792bd4"/>
    <ds:schemaRef ds:uri="8b4a19b0-63fa-4fd6-95d8-eba79f21f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E7CD6-8236-485E-BEDC-289122EAF1E7}">
  <ds:schemaRefs>
    <ds:schemaRef ds:uri="http://schemas.microsoft.com/office/2006/metadata/properties"/>
    <ds:schemaRef ds:uri="http://schemas.microsoft.com/office/infopath/2007/PartnerControls"/>
    <ds:schemaRef ds:uri="8b4a19b0-63fa-4fd6-95d8-eba79f21f341"/>
    <ds:schemaRef ds:uri="a143c7ab-4f0b-44d8-a0fa-750085792bd4"/>
  </ds:schemaRefs>
</ds:datastoreItem>
</file>

<file path=customXml/itemProps4.xml><?xml version="1.0" encoding="utf-8"?>
<ds:datastoreItem xmlns:ds="http://schemas.openxmlformats.org/officeDocument/2006/customXml" ds:itemID="{B3347097-4034-4C12-BC42-2E7EAA0A408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Crosby</dc:creator>
  <keywords/>
  <dc:description/>
  <lastModifiedBy>Paula Lamont</lastModifiedBy>
  <revision>80</revision>
  <lastPrinted>2006-01-26T18:56:00.0000000Z</lastPrinted>
  <dcterms:created xsi:type="dcterms:W3CDTF">2026-06-07T17:32:00.0000000Z</dcterms:created>
  <dcterms:modified xsi:type="dcterms:W3CDTF">2026-06-08T06:58:16.1730024Z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0x01010049431BB8B2100448B2E36A9A1F81FD3C</vt:lpwstr>
  </property>
  <property fmtid="{D5CDD505-2E9C-101B-9397-08002B2CF9AE}" pid="3" name="MediaServiceImageTags">
    <vt:lpwstr/>
  </property>
  <property fmtid="{D5CDD505-2E9C-101B-9397-08002B2CF9AE}" pid="4" name="ClassificationContentMarkingHeaderShapeIds">
    <vt:lpwstr>633c72ba,37bed986,1413606d</vt:lpwstr>
  </property>
  <property fmtid="{D5CDD505-2E9C-101B-9397-08002B2CF9AE}" pid="5" name="ClassificationContentMarkingHeaderFontProps">
    <vt:lpwstr>#5514b4,9,Century Gothic</vt:lpwstr>
  </property>
  <property fmtid="{D5CDD505-2E9C-101B-9397-08002B2CF9AE}" pid="6" name="ClassificationContentMarkingHeaderText">
    <vt:lpwstr>General</vt:lpwstr>
  </property>
  <property fmtid="{D5CDD505-2E9C-101B-9397-08002B2CF9AE}" pid="7" name="ClassificationContentMarkingFooterShapeIds">
    <vt:lpwstr>1833c6ea,6b52d08b,20c2a0c5</vt:lpwstr>
  </property>
  <property fmtid="{D5CDD505-2E9C-101B-9397-08002B2CF9AE}" pid="8" name="ClassificationContentMarkingFooterFontProps">
    <vt:lpwstr>#5514b4,9,Century Gothic</vt:lpwstr>
  </property>
  <property fmtid="{D5CDD505-2E9C-101B-9397-08002B2CF9AE}" pid="9" name="ClassificationContentMarkingFooterText">
    <vt:lpwstr>General</vt:lpwstr>
  </property>
  <property fmtid="{D5CDD505-2E9C-101B-9397-08002B2CF9AE}" pid="10" name="MSIP_Label_55818d02-8d25-4bb9-b27c-e4db64670887_Enabled">
    <vt:lpwstr>true</vt:lpwstr>
  </property>
  <property fmtid="{D5CDD505-2E9C-101B-9397-08002B2CF9AE}" pid="11" name="MSIP_Label_55818d02-8d25-4bb9-b27c-e4db64670887_SetDate">
    <vt:lpwstr>2026-06-07T20:10:51Z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7ef9c772-e935-48bc-b6f9-80812a0bdc5f</vt:lpwstr>
  </property>
  <property fmtid="{D5CDD505-2E9C-101B-9397-08002B2CF9AE}" pid="16" name="MSIP_Label_55818d02-8d25-4bb9-b27c-e4db64670887_ContentBits">
    <vt:lpwstr>3</vt:lpwstr>
  </property>
  <property fmtid="{D5CDD505-2E9C-101B-9397-08002B2CF9AE}" pid="17" name="MSIP_Label_55818d02-8d25-4bb9-b27c-e4db64670887_Tag">
    <vt:lpwstr>10, 3, 0, 1</vt:lpwstr>
  </property>
</Properties>
</file>